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99"/>
        <w:tblW w:w="0" w:type="auto"/>
        <w:tblLook w:val="01E0" w:firstRow="1" w:lastRow="1" w:firstColumn="1" w:lastColumn="1" w:noHBand="0" w:noVBand="0"/>
      </w:tblPr>
      <w:tblGrid>
        <w:gridCol w:w="3067"/>
        <w:gridCol w:w="2883"/>
        <w:gridCol w:w="3338"/>
      </w:tblGrid>
      <w:tr w:rsidR="0007296C" w:rsidRPr="00695468" w:rsidTr="00850CEB">
        <w:tc>
          <w:tcPr>
            <w:tcW w:w="3067" w:type="dxa"/>
            <w:vAlign w:val="center"/>
          </w:tcPr>
          <w:p w:rsidR="0007296C" w:rsidRPr="00695468" w:rsidRDefault="0007296C" w:rsidP="0015570D">
            <w:pPr>
              <w:spacing w:before="12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3" w:type="dxa"/>
            <w:vAlign w:val="center"/>
          </w:tcPr>
          <w:p w:rsidR="0007296C" w:rsidRPr="00695468" w:rsidRDefault="0007296C" w:rsidP="0015570D">
            <w:pPr>
              <w:spacing w:before="120"/>
              <w:contextualSpacing/>
              <w:outlineLvl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  <w:vAlign w:val="center"/>
          </w:tcPr>
          <w:p w:rsidR="0007296C" w:rsidRPr="00695468" w:rsidRDefault="0007296C" w:rsidP="0015570D">
            <w:pPr>
              <w:spacing w:before="12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2386E" w:rsidRPr="00695468" w:rsidRDefault="00F2386E" w:rsidP="0015570D">
      <w:pPr>
        <w:tabs>
          <w:tab w:val="left" w:pos="5446"/>
        </w:tabs>
        <w:spacing w:before="120"/>
        <w:ind w:left="5529"/>
        <w:jc w:val="center"/>
        <w:rPr>
          <w:rFonts w:asciiTheme="minorHAnsi" w:hAnsiTheme="minorHAnsi" w:cs="Arial"/>
          <w:sz w:val="18"/>
          <w:szCs w:val="22"/>
        </w:rPr>
      </w:pPr>
      <w:r w:rsidRPr="00695468">
        <w:rPr>
          <w:rFonts w:asciiTheme="minorHAnsi" w:hAnsiTheme="minorHAnsi" w:cs="Arial"/>
          <w:sz w:val="18"/>
          <w:szCs w:val="22"/>
        </w:rPr>
        <w:t xml:space="preserve">Załącznik do Uchwały nr </w:t>
      </w:r>
      <w:r w:rsidR="00BD768A">
        <w:rPr>
          <w:rFonts w:asciiTheme="minorHAnsi" w:hAnsiTheme="minorHAnsi" w:cs="Arial"/>
          <w:sz w:val="18"/>
          <w:szCs w:val="22"/>
        </w:rPr>
        <w:t>5/35/16/V</w:t>
      </w:r>
    </w:p>
    <w:p w:rsidR="00F2386E" w:rsidRPr="00695468" w:rsidRDefault="00F2386E" w:rsidP="0015570D">
      <w:pPr>
        <w:tabs>
          <w:tab w:val="left" w:pos="5446"/>
        </w:tabs>
        <w:spacing w:before="120"/>
        <w:ind w:left="5529"/>
        <w:jc w:val="center"/>
        <w:rPr>
          <w:rFonts w:asciiTheme="minorHAnsi" w:hAnsiTheme="minorHAnsi" w:cs="Arial"/>
          <w:sz w:val="18"/>
          <w:szCs w:val="22"/>
        </w:rPr>
      </w:pPr>
      <w:r w:rsidRPr="00695468">
        <w:rPr>
          <w:rFonts w:asciiTheme="minorHAnsi" w:hAnsiTheme="minorHAnsi" w:cs="Arial"/>
          <w:sz w:val="18"/>
          <w:szCs w:val="22"/>
        </w:rPr>
        <w:t>Zarządu Województwa Warmińsko-Mazurskiego</w:t>
      </w:r>
    </w:p>
    <w:p w:rsidR="00F2386E" w:rsidRPr="00695468" w:rsidRDefault="00F2386E" w:rsidP="0015570D">
      <w:pPr>
        <w:tabs>
          <w:tab w:val="left" w:pos="5446"/>
        </w:tabs>
        <w:spacing w:before="120"/>
        <w:ind w:left="5529"/>
        <w:jc w:val="center"/>
        <w:rPr>
          <w:rFonts w:asciiTheme="minorHAnsi" w:hAnsiTheme="minorHAnsi" w:cs="Arial"/>
          <w:sz w:val="18"/>
          <w:szCs w:val="22"/>
        </w:rPr>
      </w:pPr>
      <w:r w:rsidRPr="00695468">
        <w:rPr>
          <w:rFonts w:asciiTheme="minorHAnsi" w:hAnsiTheme="minorHAnsi" w:cs="Arial"/>
          <w:sz w:val="18"/>
          <w:szCs w:val="22"/>
        </w:rPr>
        <w:t xml:space="preserve">z dnia </w:t>
      </w:r>
      <w:r w:rsidR="00131F6D">
        <w:rPr>
          <w:rFonts w:asciiTheme="minorHAnsi" w:hAnsiTheme="minorHAnsi" w:cs="Arial"/>
          <w:sz w:val="18"/>
          <w:szCs w:val="22"/>
        </w:rPr>
        <w:t>21.01.</w:t>
      </w:r>
      <w:r w:rsidRPr="00695468">
        <w:rPr>
          <w:rFonts w:asciiTheme="minorHAnsi" w:hAnsiTheme="minorHAnsi" w:cs="Arial"/>
          <w:sz w:val="18"/>
          <w:szCs w:val="22"/>
        </w:rPr>
        <w:t>201</w:t>
      </w:r>
      <w:r w:rsidR="00FA464B" w:rsidRPr="00695468">
        <w:rPr>
          <w:rFonts w:asciiTheme="minorHAnsi" w:hAnsiTheme="minorHAnsi" w:cs="Arial"/>
          <w:sz w:val="18"/>
          <w:szCs w:val="22"/>
        </w:rPr>
        <w:t>6</w:t>
      </w:r>
      <w:r w:rsidRPr="00695468">
        <w:rPr>
          <w:rFonts w:asciiTheme="minorHAnsi" w:hAnsiTheme="minorHAnsi" w:cs="Arial"/>
          <w:sz w:val="18"/>
          <w:szCs w:val="22"/>
        </w:rPr>
        <w:t xml:space="preserve"> r.</w:t>
      </w:r>
      <w:bookmarkStart w:id="0" w:name="_GoBack"/>
      <w:bookmarkEnd w:id="0"/>
    </w:p>
    <w:p w:rsidR="00EA0183" w:rsidRPr="00695468" w:rsidRDefault="00EA0183" w:rsidP="0015570D">
      <w:pPr>
        <w:tabs>
          <w:tab w:val="left" w:pos="5446"/>
        </w:tabs>
        <w:spacing w:before="120"/>
        <w:ind w:left="5529"/>
        <w:jc w:val="center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D67C1A" w:rsidRPr="00695468" w:rsidRDefault="00D67C1A" w:rsidP="0015570D">
      <w:pPr>
        <w:tabs>
          <w:tab w:val="left" w:pos="5446"/>
        </w:tabs>
        <w:spacing w:before="120"/>
        <w:jc w:val="center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E172AA" w:rsidRPr="00695468" w:rsidRDefault="00131F6D" w:rsidP="0015570D">
      <w:pPr>
        <w:spacing w:before="120"/>
        <w:jc w:val="right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pict>
          <v:oval id="Oval 2" o:spid="_x0000_s1026" style="position:absolute;left:0;text-align:left;margin-left:-40.95pt;margin-top:.05pt;width:536.15pt;height:453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" fillcolor="#8db3e2" stroked="f" strokecolor="#002060" strokeweight=".5pt">
            <v:fill opacity="26213f" rotate="t" focus="100%" type="gradientRadial">
              <o:fill v:ext="view" type="gradientCenter"/>
            </v:fill>
            <v:stroke dashstyle="1 1" endcap="round"/>
          </v:oval>
        </w:pict>
      </w: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36"/>
          <w:szCs w:val="22"/>
        </w:rPr>
      </w:pPr>
      <w:r w:rsidRPr="00695468">
        <w:rPr>
          <w:rFonts w:asciiTheme="minorHAnsi" w:hAnsiTheme="minorHAnsi"/>
          <w:b/>
          <w:sz w:val="36"/>
          <w:szCs w:val="22"/>
        </w:rPr>
        <w:t>Regionalny Program Operacyjny</w:t>
      </w: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36"/>
          <w:szCs w:val="22"/>
        </w:rPr>
      </w:pPr>
      <w:r w:rsidRPr="00695468">
        <w:rPr>
          <w:rFonts w:asciiTheme="minorHAnsi" w:hAnsiTheme="minorHAnsi"/>
          <w:b/>
          <w:sz w:val="36"/>
          <w:szCs w:val="22"/>
        </w:rPr>
        <w:t>Województwa Warmińsko-Mazurskiego</w:t>
      </w: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36"/>
          <w:szCs w:val="22"/>
        </w:rPr>
      </w:pPr>
      <w:r w:rsidRPr="00695468">
        <w:rPr>
          <w:rFonts w:asciiTheme="minorHAnsi" w:hAnsiTheme="minorHAnsi"/>
          <w:b/>
          <w:sz w:val="36"/>
          <w:szCs w:val="22"/>
        </w:rPr>
        <w:t>na lata 2014-2020</w:t>
      </w:r>
    </w:p>
    <w:p w:rsidR="00695468" w:rsidRPr="00695468" w:rsidRDefault="00695468" w:rsidP="00695468">
      <w:pPr>
        <w:rPr>
          <w:rFonts w:asciiTheme="minorHAnsi" w:hAnsiTheme="minorHAnsi"/>
          <w:sz w:val="22"/>
          <w:szCs w:val="22"/>
        </w:rPr>
      </w:pPr>
    </w:p>
    <w:p w:rsidR="00695468" w:rsidRPr="00695468" w:rsidRDefault="00695468" w:rsidP="00695468">
      <w:pPr>
        <w:rPr>
          <w:rFonts w:asciiTheme="minorHAnsi" w:hAnsiTheme="minorHAnsi"/>
          <w:sz w:val="22"/>
          <w:szCs w:val="22"/>
        </w:rPr>
      </w:pPr>
    </w:p>
    <w:p w:rsidR="00695468" w:rsidRPr="00695468" w:rsidRDefault="00695468" w:rsidP="00695468">
      <w:pPr>
        <w:rPr>
          <w:rFonts w:asciiTheme="minorHAnsi" w:hAnsiTheme="minorHAnsi"/>
          <w:sz w:val="22"/>
          <w:szCs w:val="22"/>
        </w:rPr>
      </w:pPr>
    </w:p>
    <w:p w:rsidR="00695468" w:rsidRPr="00F33E88" w:rsidRDefault="00695468" w:rsidP="00F33E88">
      <w:pPr>
        <w:jc w:val="center"/>
        <w:rPr>
          <w:rFonts w:asciiTheme="minorHAnsi" w:hAnsiTheme="minorHAnsi"/>
          <w:b/>
          <w:sz w:val="32"/>
          <w:szCs w:val="32"/>
        </w:rPr>
      </w:pPr>
      <w:r w:rsidRPr="006A1A01">
        <w:rPr>
          <w:rFonts w:asciiTheme="minorHAnsi" w:hAnsiTheme="minorHAnsi"/>
          <w:b/>
          <w:sz w:val="32"/>
          <w:szCs w:val="32"/>
        </w:rPr>
        <w:t>Wytyczne w sprawie kwalifikowalności wydatków</w:t>
      </w:r>
    </w:p>
    <w:p w:rsidR="00695468" w:rsidRPr="006A1A01" w:rsidRDefault="00695468" w:rsidP="00F33E88">
      <w:pPr>
        <w:jc w:val="center"/>
        <w:rPr>
          <w:rFonts w:asciiTheme="minorHAnsi" w:hAnsiTheme="minorHAnsi"/>
          <w:b/>
          <w:sz w:val="32"/>
          <w:szCs w:val="32"/>
        </w:rPr>
      </w:pPr>
      <w:r w:rsidRPr="006A1A01">
        <w:rPr>
          <w:rFonts w:asciiTheme="minorHAnsi" w:hAnsiTheme="minorHAnsi"/>
          <w:b/>
          <w:sz w:val="32"/>
          <w:szCs w:val="32"/>
        </w:rPr>
        <w:t>w ramach Osi Priorytetowej 4 Efektywność Energetyczna:</w:t>
      </w:r>
    </w:p>
    <w:p w:rsidR="00695468" w:rsidRPr="006A1A01" w:rsidRDefault="00695468" w:rsidP="00714DB6">
      <w:pPr>
        <w:pStyle w:val="Akapitzlist"/>
        <w:numPr>
          <w:ilvl w:val="0"/>
          <w:numId w:val="10"/>
        </w:numPr>
        <w:ind w:left="0" w:firstLine="0"/>
        <w:contextualSpacing w:val="0"/>
        <w:jc w:val="center"/>
        <w:rPr>
          <w:rFonts w:asciiTheme="minorHAnsi" w:hAnsiTheme="minorHAnsi"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4.1 Wspieranie wytwarzania i dystrybucji energii pochodzącej ze źródeł odnawialnych,</w:t>
      </w:r>
    </w:p>
    <w:p w:rsidR="00695468" w:rsidRPr="006A1A01" w:rsidRDefault="00695468" w:rsidP="00714DB6">
      <w:pPr>
        <w:pStyle w:val="Akapitzlist"/>
        <w:numPr>
          <w:ilvl w:val="0"/>
          <w:numId w:val="10"/>
        </w:numPr>
        <w:ind w:left="0" w:firstLine="0"/>
        <w:contextualSpacing w:val="0"/>
        <w:jc w:val="center"/>
        <w:rPr>
          <w:rFonts w:asciiTheme="minorHAnsi" w:hAnsiTheme="minorHAnsi"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4.2 Efektywność energetyczna i wykorzystanie OZE w MŚP;</w:t>
      </w:r>
    </w:p>
    <w:p w:rsidR="00695468" w:rsidRPr="00F33E88" w:rsidRDefault="00695468" w:rsidP="00F33E88">
      <w:pPr>
        <w:jc w:val="center"/>
        <w:rPr>
          <w:rFonts w:asciiTheme="minorHAnsi" w:hAnsiTheme="minorHAnsi"/>
          <w:b/>
          <w:sz w:val="32"/>
          <w:szCs w:val="32"/>
        </w:rPr>
      </w:pPr>
      <w:r w:rsidRPr="00F33E88">
        <w:rPr>
          <w:rFonts w:asciiTheme="minorHAnsi" w:hAnsiTheme="minorHAnsi"/>
          <w:b/>
          <w:sz w:val="32"/>
          <w:szCs w:val="32"/>
        </w:rPr>
        <w:t>oraz</w:t>
      </w:r>
    </w:p>
    <w:p w:rsidR="00695468" w:rsidRPr="006A1A01" w:rsidRDefault="00695468" w:rsidP="00F33E88">
      <w:pPr>
        <w:jc w:val="center"/>
        <w:rPr>
          <w:rFonts w:asciiTheme="minorHAnsi" w:hAnsiTheme="minorHAnsi"/>
          <w:b/>
          <w:sz w:val="32"/>
          <w:szCs w:val="32"/>
        </w:rPr>
      </w:pPr>
      <w:r w:rsidRPr="006A1A01">
        <w:rPr>
          <w:rFonts w:asciiTheme="minorHAnsi" w:hAnsiTheme="minorHAnsi"/>
          <w:b/>
          <w:sz w:val="32"/>
          <w:szCs w:val="32"/>
        </w:rPr>
        <w:t>w ramach Osi Priorytetowej 5 Środowisko przyrodnicze i racjonalne wykorzystanie zasobów:</w:t>
      </w:r>
    </w:p>
    <w:p w:rsidR="00695468" w:rsidRPr="006A1A01" w:rsidRDefault="00695468" w:rsidP="00714DB6">
      <w:pPr>
        <w:pStyle w:val="Akapitzlist"/>
        <w:numPr>
          <w:ilvl w:val="0"/>
          <w:numId w:val="11"/>
        </w:numPr>
        <w:ind w:left="0" w:firstLine="0"/>
        <w:contextualSpacing w:val="0"/>
        <w:jc w:val="center"/>
        <w:rPr>
          <w:rFonts w:asciiTheme="minorHAnsi" w:hAnsiTheme="minorHAnsi"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5.1 Gospodarka odpadowa,</w:t>
      </w:r>
    </w:p>
    <w:p w:rsidR="00695468" w:rsidRPr="006A1A01" w:rsidRDefault="00695468" w:rsidP="00714DB6">
      <w:pPr>
        <w:pStyle w:val="Akapitzlist"/>
        <w:numPr>
          <w:ilvl w:val="0"/>
          <w:numId w:val="11"/>
        </w:numPr>
        <w:ind w:left="0" w:firstLine="0"/>
        <w:contextualSpacing w:val="0"/>
        <w:jc w:val="center"/>
        <w:rPr>
          <w:rFonts w:asciiTheme="minorHAnsi" w:hAnsiTheme="minorHAnsi"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5.2 Gospodarka wodno-ściekowa,</w:t>
      </w:r>
    </w:p>
    <w:p w:rsidR="00695468" w:rsidRPr="006A1A01" w:rsidRDefault="00695468" w:rsidP="00714DB6">
      <w:pPr>
        <w:pStyle w:val="Akapitzlist"/>
        <w:numPr>
          <w:ilvl w:val="0"/>
          <w:numId w:val="11"/>
        </w:numPr>
        <w:ind w:left="0" w:firstLine="0"/>
        <w:contextualSpacing w:val="0"/>
        <w:jc w:val="center"/>
        <w:rPr>
          <w:rFonts w:asciiTheme="minorHAnsi" w:hAnsiTheme="minorHAnsi"/>
          <w:i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5.3 Oc</w:t>
      </w:r>
      <w:r w:rsidR="006A1A01" w:rsidRPr="006A1A01">
        <w:rPr>
          <w:rFonts w:asciiTheme="minorHAnsi" w:hAnsiTheme="minorHAnsi"/>
          <w:sz w:val="32"/>
          <w:szCs w:val="32"/>
        </w:rPr>
        <w:t>hrona różnorodności biologicznej</w:t>
      </w:r>
    </w:p>
    <w:p w:rsidR="006A1A01" w:rsidRPr="00F33E88" w:rsidRDefault="006A1A01" w:rsidP="00F33E88">
      <w:pPr>
        <w:pStyle w:val="Akapitzlist"/>
        <w:ind w:left="0"/>
        <w:contextualSpacing w:val="0"/>
        <w:jc w:val="center"/>
        <w:rPr>
          <w:rFonts w:asciiTheme="minorHAnsi" w:hAnsiTheme="minorHAnsi"/>
          <w:b/>
          <w:sz w:val="32"/>
          <w:szCs w:val="32"/>
        </w:rPr>
      </w:pPr>
      <w:r w:rsidRPr="00F33E88">
        <w:rPr>
          <w:rFonts w:asciiTheme="minorHAnsi" w:hAnsiTheme="minorHAnsi"/>
          <w:b/>
          <w:sz w:val="32"/>
          <w:szCs w:val="32"/>
        </w:rPr>
        <w:t>Regionalnego Programu Ope</w:t>
      </w:r>
      <w:r w:rsidR="00F33E88">
        <w:rPr>
          <w:rFonts w:asciiTheme="minorHAnsi" w:hAnsiTheme="minorHAnsi"/>
          <w:b/>
          <w:sz w:val="32"/>
          <w:szCs w:val="32"/>
        </w:rPr>
        <w:t>racyjnego Województwa Warmińsko</w:t>
      </w:r>
      <w:r w:rsidR="00F33E88">
        <w:rPr>
          <w:rFonts w:asciiTheme="minorHAnsi" w:hAnsiTheme="minorHAnsi"/>
          <w:b/>
          <w:sz w:val="32"/>
          <w:szCs w:val="32"/>
        </w:rPr>
        <w:noBreakHyphen/>
      </w:r>
      <w:r w:rsidRPr="00F33E88">
        <w:rPr>
          <w:rFonts w:asciiTheme="minorHAnsi" w:hAnsiTheme="minorHAnsi"/>
          <w:b/>
          <w:sz w:val="32"/>
          <w:szCs w:val="32"/>
        </w:rPr>
        <w:t xml:space="preserve">Mazurskiego na lata 2014-2020 </w:t>
      </w:r>
    </w:p>
    <w:p w:rsidR="006A1A01" w:rsidRPr="00F33E88" w:rsidRDefault="006A1A01" w:rsidP="00F33E88">
      <w:pPr>
        <w:pStyle w:val="Akapitzlist"/>
        <w:ind w:left="0"/>
        <w:contextualSpacing w:val="0"/>
        <w:jc w:val="center"/>
        <w:rPr>
          <w:rFonts w:asciiTheme="minorHAnsi" w:hAnsiTheme="minorHAnsi"/>
          <w:b/>
          <w:sz w:val="32"/>
          <w:szCs w:val="32"/>
        </w:rPr>
      </w:pPr>
      <w:r w:rsidRPr="00F33E88">
        <w:rPr>
          <w:rFonts w:asciiTheme="minorHAnsi" w:hAnsiTheme="minorHAnsi"/>
          <w:b/>
          <w:sz w:val="32"/>
          <w:szCs w:val="32"/>
        </w:rPr>
        <w:t>w zakresie Europejskiego Funduszu Rozwoju Regionalnego</w:t>
      </w: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E88" w:rsidRDefault="00F33E8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E88" w:rsidRDefault="00F33E8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E88" w:rsidRDefault="00F33E8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199B" w:rsidRDefault="005A199B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199B" w:rsidRDefault="005A199B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199B" w:rsidRDefault="005A199B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E88" w:rsidRDefault="00F33E8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  <w:r w:rsidRPr="00695468">
        <w:rPr>
          <w:rFonts w:asciiTheme="minorHAnsi" w:hAnsiTheme="minorHAnsi"/>
          <w:b/>
          <w:sz w:val="22"/>
          <w:szCs w:val="22"/>
        </w:rPr>
        <w:t>Wojewódzki Fundusz Ochrony Środowiska i Gospodarki Wodnej w Olsztynie</w:t>
      </w: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Pr="00695468" w:rsidRDefault="00695468" w:rsidP="00695468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styczeń 2016</w:t>
      </w:r>
      <w:r w:rsidRPr="00695468">
        <w:rPr>
          <w:rFonts w:asciiTheme="minorHAnsi" w:hAnsiTheme="minorHAnsi"/>
          <w:i/>
          <w:sz w:val="22"/>
          <w:szCs w:val="22"/>
        </w:rPr>
        <w:t xml:space="preserve"> r.</w:t>
      </w:r>
    </w:p>
    <w:p w:rsidR="00695468" w:rsidRDefault="00695468" w:rsidP="00695468">
      <w:pPr>
        <w:pStyle w:val="Nagwek1"/>
        <w:spacing w:before="0" w:after="120"/>
        <w:ind w:left="567" w:hanging="567"/>
        <w:jc w:val="both"/>
        <w:rPr>
          <w:rFonts w:asciiTheme="minorHAnsi" w:hAnsiTheme="minorHAnsi"/>
          <w:szCs w:val="22"/>
        </w:rPr>
      </w:pPr>
      <w:r w:rsidRPr="00695468">
        <w:rPr>
          <w:rFonts w:asciiTheme="minorHAnsi" w:hAnsiTheme="minorHAnsi"/>
          <w:szCs w:val="22"/>
        </w:rPr>
        <w:br w:type="page"/>
      </w:r>
    </w:p>
    <w:p w:rsidR="006A1A01" w:rsidRPr="006A1A01" w:rsidRDefault="006A1A01" w:rsidP="005A199B">
      <w:pPr>
        <w:pStyle w:val="Nagwekspisutreci"/>
        <w:spacing w:before="0" w:line="360" w:lineRule="auto"/>
        <w:jc w:val="center"/>
        <w:rPr>
          <w:rFonts w:asciiTheme="minorHAnsi" w:hAnsiTheme="minorHAnsi"/>
          <w:sz w:val="24"/>
          <w:szCs w:val="22"/>
        </w:rPr>
      </w:pPr>
      <w:r w:rsidRPr="006A1A01">
        <w:rPr>
          <w:rFonts w:asciiTheme="minorHAnsi" w:hAnsiTheme="minorHAnsi"/>
          <w:sz w:val="24"/>
          <w:szCs w:val="22"/>
        </w:rPr>
        <w:lastRenderedPageBreak/>
        <w:t>Spis treści</w:t>
      </w:r>
    </w:p>
    <w:p w:rsidR="005A199B" w:rsidRPr="005A199B" w:rsidRDefault="00137E1A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r w:rsidRPr="005A199B">
        <w:rPr>
          <w:rFonts w:asciiTheme="minorHAnsi" w:hAnsiTheme="minorHAnsi"/>
        </w:rPr>
        <w:fldChar w:fldCharType="begin"/>
      </w:r>
      <w:r w:rsidR="006A1A01" w:rsidRPr="005A199B">
        <w:rPr>
          <w:rFonts w:asciiTheme="minorHAnsi" w:hAnsiTheme="minorHAnsi"/>
        </w:rPr>
        <w:instrText xml:space="preserve"> TOC \o "1-3" \h \z \u </w:instrText>
      </w:r>
      <w:r w:rsidRPr="005A199B">
        <w:rPr>
          <w:rFonts w:asciiTheme="minorHAnsi" w:hAnsiTheme="minorHAnsi"/>
        </w:rPr>
        <w:fldChar w:fldCharType="separate"/>
      </w:r>
      <w:hyperlink w:anchor="_Toc439936643" w:history="1">
        <w:r w:rsidR="005A199B" w:rsidRPr="005A199B">
          <w:rPr>
            <w:rStyle w:val="Hipercze"/>
            <w:rFonts w:asciiTheme="minorHAnsi" w:hAnsiTheme="minorHAnsi"/>
          </w:rPr>
          <w:t>I Wykaz skrótów i pojęć</w:t>
        </w:r>
        <w:r w:rsidR="005A199B" w:rsidRPr="005A199B">
          <w:rPr>
            <w:rFonts w:asciiTheme="minorHAnsi" w:hAnsiTheme="minorHAnsi"/>
            <w:webHidden/>
          </w:rPr>
          <w:tab/>
        </w:r>
        <w:r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_Toc439936643 \h </w:instrText>
        </w:r>
        <w:r w:rsidRPr="005A199B">
          <w:rPr>
            <w:rFonts w:asciiTheme="minorHAnsi" w:hAnsiTheme="minorHAnsi"/>
            <w:webHidden/>
          </w:rPr>
        </w:r>
        <w:r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3</w:t>
        </w:r>
        <w:r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131F6D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hyperlink w:anchor="_Toc439936644" w:history="1">
        <w:r w:rsidR="005A199B" w:rsidRPr="005A199B">
          <w:rPr>
            <w:rStyle w:val="Hipercze"/>
            <w:rFonts w:asciiTheme="minorHAnsi" w:hAnsiTheme="minorHAnsi"/>
          </w:rPr>
          <w:t>II Wykaz aktów prawnych</w:t>
        </w:r>
        <w:r w:rsidR="005A199B" w:rsidRPr="005A199B">
          <w:rPr>
            <w:rFonts w:asciiTheme="minorHAnsi" w:hAnsiTheme="minorHAnsi"/>
            <w:webHidden/>
          </w:rPr>
          <w:tab/>
        </w:r>
        <w:r w:rsidR="00137E1A"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_Toc439936644 \h </w:instrText>
        </w:r>
        <w:r w:rsidR="00137E1A" w:rsidRPr="005A199B">
          <w:rPr>
            <w:rFonts w:asciiTheme="minorHAnsi" w:hAnsiTheme="minorHAnsi"/>
            <w:webHidden/>
          </w:rPr>
        </w:r>
        <w:r w:rsidR="00137E1A"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3</w:t>
        </w:r>
        <w:r w:rsidR="00137E1A"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131F6D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hyperlink w:anchor="_Toc439936645" w:history="1">
        <w:r w:rsidR="005A199B" w:rsidRPr="005A199B">
          <w:rPr>
            <w:rStyle w:val="Hipercze"/>
            <w:rFonts w:asciiTheme="minorHAnsi" w:hAnsiTheme="minorHAnsi"/>
          </w:rPr>
          <w:t>III Cel i zakres regulacji</w:t>
        </w:r>
        <w:r w:rsidR="005A199B" w:rsidRPr="005A199B">
          <w:rPr>
            <w:rFonts w:asciiTheme="minorHAnsi" w:hAnsiTheme="minorHAnsi"/>
            <w:webHidden/>
          </w:rPr>
          <w:tab/>
        </w:r>
        <w:r w:rsidR="00137E1A"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_Toc439936645 \h </w:instrText>
        </w:r>
        <w:r w:rsidR="00137E1A" w:rsidRPr="005A199B">
          <w:rPr>
            <w:rFonts w:asciiTheme="minorHAnsi" w:hAnsiTheme="minorHAnsi"/>
            <w:webHidden/>
          </w:rPr>
        </w:r>
        <w:r w:rsidR="00137E1A"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4</w:t>
        </w:r>
        <w:r w:rsidR="00137E1A"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131F6D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hyperlink w:anchor="_Toc439936646" w:history="1">
        <w:r w:rsidR="005A199B" w:rsidRPr="005A199B">
          <w:rPr>
            <w:rStyle w:val="Hipercze"/>
            <w:rFonts w:asciiTheme="minorHAnsi" w:hAnsiTheme="minorHAnsi"/>
          </w:rPr>
          <w:t>IV Termin poniesienia wydatków</w:t>
        </w:r>
        <w:r w:rsidR="005A199B" w:rsidRPr="005A199B">
          <w:rPr>
            <w:rFonts w:asciiTheme="minorHAnsi" w:hAnsiTheme="minorHAnsi"/>
            <w:webHidden/>
          </w:rPr>
          <w:tab/>
        </w:r>
        <w:r w:rsidR="00137E1A"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_Toc439936646 \h </w:instrText>
        </w:r>
        <w:r w:rsidR="00137E1A" w:rsidRPr="005A199B">
          <w:rPr>
            <w:rFonts w:asciiTheme="minorHAnsi" w:hAnsiTheme="minorHAnsi"/>
            <w:webHidden/>
          </w:rPr>
        </w:r>
        <w:r w:rsidR="00137E1A"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6</w:t>
        </w:r>
        <w:r w:rsidR="00137E1A"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131F6D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hyperlink w:anchor="_Toc439936647" w:history="1">
        <w:r w:rsidR="005A199B" w:rsidRPr="005A199B">
          <w:rPr>
            <w:rStyle w:val="Hipercze"/>
            <w:rFonts w:asciiTheme="minorHAnsi" w:hAnsiTheme="minorHAnsi"/>
          </w:rPr>
          <w:t>V Szczegółowe zasady kwalifikowalności wydatków</w:t>
        </w:r>
        <w:r w:rsidR="005A199B" w:rsidRPr="005A199B">
          <w:rPr>
            <w:rFonts w:asciiTheme="minorHAnsi" w:hAnsiTheme="minorHAnsi"/>
            <w:webHidden/>
          </w:rPr>
          <w:tab/>
        </w:r>
        <w:r w:rsidR="00137E1A"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_Toc439936647 \h </w:instrText>
        </w:r>
        <w:r w:rsidR="00137E1A" w:rsidRPr="005A199B">
          <w:rPr>
            <w:rFonts w:asciiTheme="minorHAnsi" w:hAnsiTheme="minorHAnsi"/>
            <w:webHidden/>
          </w:rPr>
        </w:r>
        <w:r w:rsidR="00137E1A"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6</w:t>
        </w:r>
        <w:r w:rsidR="00137E1A"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131F6D" w:rsidP="005A199B">
      <w:pPr>
        <w:pStyle w:val="Spistreci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48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Oś Priorytetowa 4 Efektywność Energetyczna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_Toc439936648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6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131F6D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49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4.1 Wspieranie wytwarzania i dystrybucji energii pochodzącej ze  źródeł odnawialnych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_Toc439936649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6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131F6D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0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4.2 Efektywność energetyczna i wykorzystanie OZE w MŚP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_Toc439936650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6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131F6D" w:rsidP="005A199B">
      <w:pPr>
        <w:pStyle w:val="Spistreci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1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Oś Priorytetowa 5 Środowisko przyrodnicze i racjonalne wykorzystanie zasobów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_Toc439936651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131F6D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2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5.1 Gospodarka odpadowa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_Toc439936652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131F6D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3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5.2 Gospodarka wodno-ściekowa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_Toc439936653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131F6D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4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5.3 Ochrona różnorodności biologicznej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_Toc439936654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9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A1A01" w:rsidRDefault="00137E1A" w:rsidP="005A199B">
      <w:pPr>
        <w:spacing w:line="360" w:lineRule="auto"/>
      </w:pPr>
      <w:r w:rsidRPr="005A199B">
        <w:rPr>
          <w:rFonts w:asciiTheme="minorHAnsi" w:hAnsiTheme="minorHAnsi"/>
          <w:sz w:val="22"/>
          <w:szCs w:val="22"/>
        </w:rPr>
        <w:fldChar w:fldCharType="end"/>
      </w:r>
    </w:p>
    <w:p w:rsidR="00695468" w:rsidRPr="006A1A01" w:rsidRDefault="00695468" w:rsidP="006A1A01">
      <w:pPr>
        <w:pStyle w:val="Nagwek1"/>
        <w:spacing w:before="0" w:line="276" w:lineRule="auto"/>
        <w:rPr>
          <w:rFonts w:asciiTheme="minorHAnsi" w:hAnsiTheme="minorHAnsi"/>
          <w:szCs w:val="22"/>
        </w:rPr>
      </w:pPr>
      <w:r>
        <w:br w:type="page"/>
      </w:r>
      <w:bookmarkStart w:id="1" w:name="_Toc439936643"/>
      <w:r w:rsidR="00A70D7B">
        <w:lastRenderedPageBreak/>
        <w:t xml:space="preserve">I </w:t>
      </w:r>
      <w:r w:rsidRPr="006A1A01">
        <w:rPr>
          <w:rFonts w:asciiTheme="minorHAnsi" w:hAnsiTheme="minorHAnsi"/>
          <w:szCs w:val="22"/>
        </w:rPr>
        <w:t>Wykaz skrótów</w:t>
      </w:r>
      <w:r w:rsidR="006A1A01" w:rsidRPr="006A1A01">
        <w:rPr>
          <w:rFonts w:asciiTheme="minorHAnsi" w:hAnsiTheme="minorHAnsi"/>
          <w:szCs w:val="22"/>
        </w:rPr>
        <w:t xml:space="preserve"> i pojęć</w:t>
      </w:r>
      <w:bookmarkEnd w:id="1"/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MR </w:t>
      </w:r>
      <w:r w:rsidRPr="006A1A01">
        <w:rPr>
          <w:rFonts w:asciiTheme="minorHAnsi" w:hAnsiTheme="minorHAnsi"/>
          <w:sz w:val="22"/>
          <w:szCs w:val="22"/>
          <w:lang w:eastAsia="ko-KR"/>
        </w:rPr>
        <w:t>– Ministerstwo Rozwoju;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WFOŚiGW – </w:t>
      </w:r>
      <w:r w:rsidRPr="006A1A01">
        <w:rPr>
          <w:rFonts w:asciiTheme="minorHAnsi" w:hAnsiTheme="minorHAnsi"/>
          <w:sz w:val="22"/>
          <w:szCs w:val="22"/>
          <w:lang w:eastAsia="ko-KR"/>
        </w:rPr>
        <w:t>Wojewódzki Fundusz</w:t>
      </w:r>
      <w:r w:rsidRPr="006A1A01">
        <w:rPr>
          <w:rFonts w:asciiTheme="minorHAnsi" w:hAnsiTheme="minorHAnsi"/>
          <w:b/>
          <w:sz w:val="22"/>
          <w:szCs w:val="22"/>
        </w:rPr>
        <w:t xml:space="preserve"> </w:t>
      </w:r>
      <w:r w:rsidRPr="006A1A01">
        <w:rPr>
          <w:rFonts w:asciiTheme="minorHAnsi" w:hAnsiTheme="minorHAnsi"/>
          <w:sz w:val="22"/>
          <w:szCs w:val="22"/>
        </w:rPr>
        <w:t>Ochrony Środowiska i Gospodarki Wodnej w Olsztynie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RPO </w:t>
      </w:r>
      <w:proofErr w:type="spellStart"/>
      <w:r w:rsidRPr="006A1A01">
        <w:rPr>
          <w:rFonts w:asciiTheme="minorHAnsi" w:hAnsiTheme="minorHAnsi"/>
          <w:b/>
          <w:sz w:val="22"/>
          <w:szCs w:val="22"/>
          <w:lang w:eastAsia="ko-KR"/>
        </w:rPr>
        <w:t>WiM</w:t>
      </w:r>
      <w:proofErr w:type="spellEnd"/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 2014-2020 </w:t>
      </w:r>
      <w:r w:rsidRPr="006A1A01">
        <w:rPr>
          <w:rFonts w:asciiTheme="minorHAnsi" w:hAnsiTheme="minorHAnsi"/>
          <w:sz w:val="22"/>
          <w:szCs w:val="22"/>
          <w:lang w:eastAsia="ko-KR"/>
        </w:rPr>
        <w:t>– Regionalny Program Operacyjny Województwa Warmińsko-Mazurskiego na lata 2014-2020;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IZ RPO </w:t>
      </w:r>
      <w:proofErr w:type="spellStart"/>
      <w:r w:rsidRPr="006A1A01">
        <w:rPr>
          <w:rFonts w:asciiTheme="minorHAnsi" w:hAnsiTheme="minorHAnsi"/>
          <w:b/>
          <w:sz w:val="22"/>
          <w:szCs w:val="22"/>
          <w:lang w:eastAsia="ko-KR"/>
        </w:rPr>
        <w:t>WiM</w:t>
      </w:r>
      <w:proofErr w:type="spellEnd"/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 2014-2020 </w:t>
      </w:r>
      <w:r w:rsidRPr="006A1A01">
        <w:rPr>
          <w:rFonts w:asciiTheme="minorHAnsi" w:hAnsiTheme="minorHAnsi"/>
          <w:sz w:val="22"/>
          <w:szCs w:val="22"/>
          <w:lang w:eastAsia="ko-KR"/>
        </w:rPr>
        <w:t xml:space="preserve">– Instytucja Zarządzająca RPO </w:t>
      </w:r>
      <w:proofErr w:type="spellStart"/>
      <w:r w:rsidRPr="006A1A01">
        <w:rPr>
          <w:rFonts w:asciiTheme="minorHAnsi" w:hAnsiTheme="minorHAnsi"/>
          <w:sz w:val="22"/>
          <w:szCs w:val="22"/>
          <w:lang w:eastAsia="ko-KR"/>
        </w:rPr>
        <w:t>WiM</w:t>
      </w:r>
      <w:proofErr w:type="spellEnd"/>
      <w:r w:rsidRPr="006A1A01">
        <w:rPr>
          <w:rFonts w:asciiTheme="minorHAnsi" w:hAnsiTheme="minorHAnsi"/>
          <w:sz w:val="22"/>
          <w:szCs w:val="22"/>
          <w:lang w:eastAsia="ko-KR"/>
        </w:rPr>
        <w:t xml:space="preserve"> 2014-2020;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IP RPO </w:t>
      </w:r>
      <w:proofErr w:type="spellStart"/>
      <w:r w:rsidRPr="006A1A01">
        <w:rPr>
          <w:rFonts w:asciiTheme="minorHAnsi" w:hAnsiTheme="minorHAnsi"/>
          <w:b/>
          <w:sz w:val="22"/>
          <w:szCs w:val="22"/>
          <w:lang w:eastAsia="ko-KR"/>
        </w:rPr>
        <w:t>WiM</w:t>
      </w:r>
      <w:proofErr w:type="spellEnd"/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 2014-2020 </w:t>
      </w:r>
      <w:r w:rsidRPr="006A1A01">
        <w:rPr>
          <w:rFonts w:asciiTheme="minorHAnsi" w:hAnsiTheme="minorHAnsi"/>
          <w:sz w:val="22"/>
          <w:szCs w:val="22"/>
          <w:lang w:eastAsia="ko-KR"/>
        </w:rPr>
        <w:t xml:space="preserve">– Instytucja Pośrednicząca RPO </w:t>
      </w:r>
      <w:proofErr w:type="spellStart"/>
      <w:r w:rsidRPr="006A1A01">
        <w:rPr>
          <w:rFonts w:asciiTheme="minorHAnsi" w:hAnsiTheme="minorHAnsi"/>
          <w:sz w:val="22"/>
          <w:szCs w:val="22"/>
          <w:lang w:eastAsia="ko-KR"/>
        </w:rPr>
        <w:t>WiM</w:t>
      </w:r>
      <w:proofErr w:type="spellEnd"/>
      <w:r w:rsidRPr="006A1A01">
        <w:rPr>
          <w:rFonts w:asciiTheme="minorHAnsi" w:hAnsiTheme="minorHAnsi"/>
          <w:sz w:val="22"/>
          <w:szCs w:val="22"/>
          <w:lang w:eastAsia="ko-KR"/>
        </w:rPr>
        <w:t xml:space="preserve"> 2014-2020 – WFOŚiGW w Olsztynie;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Wytyczne horyzontalne </w:t>
      </w:r>
      <w:r w:rsidRPr="006A1A01">
        <w:rPr>
          <w:rFonts w:asciiTheme="minorHAnsi" w:hAnsiTheme="minorHAnsi"/>
          <w:sz w:val="22"/>
          <w:szCs w:val="22"/>
          <w:lang w:eastAsia="ko-KR"/>
        </w:rPr>
        <w:t>– Wytyczne w zakresie kwalifikowalności wydatków w ramach Europejskiego Funduszu Rozwoju Regionalnego, Europejskiego Funduszu Społecznego oraz Funduszu Spójności na lata 2014-2020;</w:t>
      </w:r>
    </w:p>
    <w:p w:rsidR="00695468" w:rsidRPr="00A70D7B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Wytyczne programowe </w:t>
      </w:r>
      <w:r w:rsidRPr="006A1A01">
        <w:rPr>
          <w:rFonts w:asciiTheme="minorHAnsi" w:hAnsiTheme="minorHAnsi"/>
          <w:sz w:val="22"/>
          <w:szCs w:val="22"/>
          <w:lang w:eastAsia="ko-KR"/>
        </w:rPr>
        <w:t xml:space="preserve">– </w:t>
      </w:r>
      <w:r w:rsidRPr="006A1A01">
        <w:rPr>
          <w:rFonts w:asciiTheme="minorHAnsi" w:hAnsiTheme="minorHAnsi"/>
          <w:sz w:val="22"/>
          <w:szCs w:val="22"/>
        </w:rPr>
        <w:t>Wytyczne w sprawie kwalifikowalności wydatków w ramach Osi Priorytetowej 4 Efektywność Energetyczna: Działanie 4.1 Wspieranie wytwarzania i dys</w:t>
      </w:r>
      <w:r w:rsidR="006A1A01">
        <w:rPr>
          <w:rFonts w:asciiTheme="minorHAnsi" w:hAnsiTheme="minorHAnsi"/>
          <w:sz w:val="22"/>
          <w:szCs w:val="22"/>
        </w:rPr>
        <w:t>trybucji energii pochodzącej ze </w:t>
      </w:r>
      <w:r w:rsidRPr="006A1A01">
        <w:rPr>
          <w:rFonts w:asciiTheme="minorHAnsi" w:hAnsiTheme="minorHAnsi"/>
          <w:sz w:val="22"/>
          <w:szCs w:val="22"/>
        </w:rPr>
        <w:t xml:space="preserve">źródeł odnawialnych; Działanie 4.2 Efektywność energetyczna i wykorzystanie OZE w MŚP; </w:t>
      </w:r>
      <w:r w:rsidR="00A70D7B">
        <w:rPr>
          <w:rFonts w:asciiTheme="minorHAnsi" w:hAnsiTheme="minorHAnsi"/>
          <w:sz w:val="22"/>
          <w:szCs w:val="22"/>
        </w:rPr>
        <w:t xml:space="preserve">oraz </w:t>
      </w:r>
      <w:r w:rsidRPr="006A1A01">
        <w:rPr>
          <w:rFonts w:asciiTheme="minorHAnsi" w:hAnsiTheme="minorHAnsi"/>
          <w:sz w:val="22"/>
          <w:szCs w:val="22"/>
        </w:rPr>
        <w:t>w ramach Osi Priorytetowej 5 Środowisko przyrodnicze i racjonalne wykorzystanie zasobów: Działanie 5.1 Gospodarka odpadowa; Działanie 5.2 Gospodarka wodno-ściekowa; Działanie 5.3 Ochrona różnorodności biologicznej</w:t>
      </w:r>
      <w:r w:rsidR="00A70D7B">
        <w:rPr>
          <w:rFonts w:asciiTheme="minorHAnsi" w:hAnsiTheme="minorHAnsi"/>
          <w:sz w:val="22"/>
          <w:szCs w:val="22"/>
        </w:rPr>
        <w:t xml:space="preserve"> </w:t>
      </w:r>
      <w:r w:rsidR="00A70D7B" w:rsidRPr="00A70D7B">
        <w:rPr>
          <w:rFonts w:asciiTheme="minorHAnsi" w:hAnsiTheme="minorHAnsi"/>
          <w:sz w:val="22"/>
          <w:szCs w:val="22"/>
        </w:rPr>
        <w:t>Regionalnego Programu Operacyjnego Województwa Warmińsko Mazurskiego na lata 2014-2020 w zakresie Europejskiego Funduszu Rozwoju Regionalnego</w:t>
      </w:r>
      <w:r w:rsidR="00A70D7B">
        <w:rPr>
          <w:rFonts w:asciiTheme="minorHAnsi" w:hAnsiTheme="minorHAnsi"/>
          <w:sz w:val="22"/>
          <w:szCs w:val="22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SZOOP Efektywność energetyczna </w:t>
      </w:r>
      <w:r w:rsidRPr="006A1A01">
        <w:rPr>
          <w:rFonts w:asciiTheme="minorHAnsi" w:hAnsiTheme="minorHAnsi"/>
          <w:sz w:val="22"/>
          <w:szCs w:val="22"/>
          <w:lang w:eastAsia="ko-KR"/>
        </w:rPr>
        <w:t xml:space="preserve">– </w:t>
      </w:r>
      <w:r w:rsidRPr="006A1A01">
        <w:rPr>
          <w:rFonts w:asciiTheme="minorHAnsi" w:eastAsiaTheme="minorHAnsi" w:hAnsiTheme="minorHAnsi"/>
          <w:sz w:val="22"/>
          <w:szCs w:val="22"/>
          <w:lang w:eastAsia="en-US"/>
        </w:rPr>
        <w:t>Szczegółowy opis osi priorytetowej Efektywność energetyczna Regionalnego Programu Operacyjnego Województwa Warmińsko-Mazurskiego na lata 2014-2020</w:t>
      </w:r>
      <w:r w:rsidR="00A70D7B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SZOOP Środowisko - </w:t>
      </w:r>
      <w:r w:rsidRPr="006A1A01">
        <w:rPr>
          <w:rFonts w:asciiTheme="minorHAnsi" w:eastAsiaTheme="minorHAnsi" w:hAnsiTheme="minorHAnsi"/>
          <w:sz w:val="22"/>
          <w:szCs w:val="22"/>
          <w:lang w:eastAsia="en-US"/>
        </w:rPr>
        <w:t>Szczegółowy opis osi priorytetowej Środowisko przyrodnicze i racjonalne wykorzystanie zasobów Regionalnego Programu Operacyjnego Województwa Warmińsko-Mazurskiego na lata 2014-2020</w:t>
      </w:r>
      <w:r w:rsidR="00A70D7B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WPGO </w:t>
      </w:r>
      <w:r w:rsidRPr="006A1A01">
        <w:rPr>
          <w:rFonts w:asciiTheme="minorHAnsi" w:hAnsiTheme="minorHAnsi"/>
          <w:sz w:val="22"/>
          <w:szCs w:val="22"/>
          <w:lang w:eastAsia="ko-KR"/>
        </w:rPr>
        <w:t>–</w:t>
      </w: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 </w:t>
      </w:r>
      <w:r w:rsidRPr="006A1A01">
        <w:rPr>
          <w:rFonts w:asciiTheme="minorHAnsi" w:hAnsiTheme="minorHAnsi"/>
          <w:sz w:val="22"/>
          <w:szCs w:val="22"/>
          <w:lang w:eastAsia="ko-KR"/>
        </w:rPr>
        <w:t>Wojewódzki Plan Gospodarki Odpadami</w:t>
      </w:r>
      <w:r w:rsidR="00A70D7B">
        <w:rPr>
          <w:rFonts w:asciiTheme="minorHAnsi" w:hAnsiTheme="minorHAnsi"/>
          <w:sz w:val="22"/>
          <w:szCs w:val="22"/>
          <w:lang w:eastAsia="ko-KR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KPGO </w:t>
      </w:r>
      <w:r w:rsidRPr="006A1A01">
        <w:rPr>
          <w:rFonts w:asciiTheme="minorHAnsi" w:hAnsiTheme="minorHAnsi"/>
          <w:sz w:val="22"/>
          <w:szCs w:val="22"/>
          <w:lang w:eastAsia="ko-KR"/>
        </w:rPr>
        <w:t>-  Krajowy Program Gospodarki Odpadami</w:t>
      </w:r>
      <w:r w:rsidR="00A70D7B">
        <w:rPr>
          <w:rFonts w:asciiTheme="minorHAnsi" w:hAnsiTheme="minorHAnsi"/>
          <w:sz w:val="22"/>
          <w:szCs w:val="22"/>
          <w:lang w:eastAsia="ko-KR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MEW </w:t>
      </w:r>
      <w:r w:rsidRPr="006A1A01">
        <w:rPr>
          <w:rFonts w:asciiTheme="minorHAnsi" w:hAnsiTheme="minorHAnsi"/>
          <w:sz w:val="22"/>
          <w:szCs w:val="22"/>
          <w:lang w:eastAsia="ko-KR"/>
        </w:rPr>
        <w:t>–</w:t>
      </w: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 </w:t>
      </w:r>
      <w:r w:rsidRPr="006A1A01">
        <w:rPr>
          <w:rFonts w:asciiTheme="minorHAnsi" w:hAnsiTheme="minorHAnsi"/>
          <w:sz w:val="22"/>
          <w:szCs w:val="22"/>
          <w:lang w:eastAsia="ko-KR"/>
        </w:rPr>
        <w:t>mała elektrownia wodna</w:t>
      </w:r>
      <w:r w:rsidR="00A70D7B">
        <w:rPr>
          <w:rFonts w:asciiTheme="minorHAnsi" w:hAnsiTheme="minorHAnsi"/>
          <w:sz w:val="22"/>
          <w:szCs w:val="22"/>
          <w:lang w:eastAsia="ko-KR"/>
        </w:rPr>
        <w:t>.</w:t>
      </w:r>
    </w:p>
    <w:p w:rsidR="00695468" w:rsidRPr="006A1A01" w:rsidRDefault="00695468" w:rsidP="006A1A0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A70D7B" w:rsidP="006A1A01">
      <w:pPr>
        <w:pStyle w:val="Nagwek1"/>
        <w:spacing w:before="0" w:line="276" w:lineRule="auto"/>
        <w:jc w:val="both"/>
        <w:rPr>
          <w:rFonts w:asciiTheme="minorHAnsi" w:hAnsiTheme="minorHAnsi"/>
          <w:szCs w:val="22"/>
        </w:rPr>
      </w:pPr>
      <w:bookmarkStart w:id="2" w:name="_Toc429391452"/>
      <w:bookmarkStart w:id="3" w:name="_Toc434411853"/>
      <w:bookmarkStart w:id="4" w:name="_Toc439936644"/>
      <w:r>
        <w:rPr>
          <w:rFonts w:asciiTheme="minorHAnsi" w:hAnsiTheme="minorHAnsi"/>
          <w:szCs w:val="22"/>
        </w:rPr>
        <w:t xml:space="preserve">II </w:t>
      </w:r>
      <w:r w:rsidR="00695468" w:rsidRPr="006A1A01">
        <w:rPr>
          <w:rFonts w:asciiTheme="minorHAnsi" w:hAnsiTheme="minorHAnsi"/>
          <w:szCs w:val="22"/>
        </w:rPr>
        <w:t>Wykaz aktów prawnych</w:t>
      </w:r>
      <w:bookmarkEnd w:id="2"/>
      <w:bookmarkEnd w:id="3"/>
      <w:bookmarkEnd w:id="4"/>
    </w:p>
    <w:p w:rsidR="00695468" w:rsidRPr="006A1A01" w:rsidRDefault="00695468" w:rsidP="00714DB6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Wytyczne w sprawie kwalifikowalności wydatków: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 ramach Osi Priorytetowej 4 Efektywność Energetyczna: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4.1 Wspieranie wytwarzania i dystrybucji energii pochodzącej ze źródeł odnawialnych;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4.2 Efektywność energetyczna i wykorzystanie OZE w MŚP.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 ramach Osi Priorytetowej 5 Środowisko przyrodnicze i racjonalne wykorzystanie zasobów: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5.1 Gospodarka odpadowa;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5.2 Gospodarka wodno-ściekowa;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5.3 Ochrona różnorodności biologicznej.</w:t>
      </w:r>
    </w:p>
    <w:p w:rsidR="00695468" w:rsidRPr="006A1A01" w:rsidRDefault="00695468" w:rsidP="006A1A01">
      <w:p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w ramach RPO </w:t>
      </w:r>
      <w:proofErr w:type="spellStart"/>
      <w:r w:rsidRPr="006A1A01">
        <w:rPr>
          <w:rFonts w:asciiTheme="minorHAnsi" w:hAnsiTheme="minorHAnsi"/>
          <w:sz w:val="22"/>
          <w:szCs w:val="22"/>
        </w:rPr>
        <w:t>WiM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 2014-2020 w zakresie Europejskiego Funduszu Rozwoju Regionalnego (zwane dalej „Wytycznymi”) zostały wydane na podstawie art. 7 ust. 1 ust</w:t>
      </w:r>
      <w:r w:rsidR="00A70D7B">
        <w:rPr>
          <w:rFonts w:asciiTheme="minorHAnsi" w:hAnsiTheme="minorHAnsi"/>
          <w:sz w:val="22"/>
          <w:szCs w:val="22"/>
        </w:rPr>
        <w:t>awy z dnia 11 lipca 2014 roku o </w:t>
      </w:r>
      <w:r w:rsidRPr="006A1A01">
        <w:rPr>
          <w:rFonts w:asciiTheme="minorHAnsi" w:hAnsiTheme="minorHAnsi"/>
          <w:sz w:val="22"/>
          <w:szCs w:val="22"/>
        </w:rPr>
        <w:t xml:space="preserve">zasadach realizacji programów w zakresie polityki spójności finansowanych w perspektywie 2014-2020 (Dz. U. z 2014 r., poz. 1146 z </w:t>
      </w:r>
      <w:proofErr w:type="spellStart"/>
      <w:r w:rsidRPr="006A1A01">
        <w:rPr>
          <w:rFonts w:asciiTheme="minorHAnsi" w:hAnsiTheme="minorHAnsi"/>
          <w:sz w:val="22"/>
          <w:szCs w:val="22"/>
        </w:rPr>
        <w:t>późn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. zm.), zwanej dalej „ustawą wdrożeniową” oraz pkt 7 rozdziału 4 Wytycznych w zakresie kwalifikowalności wydatków w ramach Europejskiego Funduszu Rozwoju Regionalnego, Europejskiego Funduszu Społecznego oraz Funduszu Spójności na lata 2014-2020. </w:t>
      </w:r>
    </w:p>
    <w:p w:rsidR="00695468" w:rsidRDefault="00695468" w:rsidP="006A1A01">
      <w:pPr>
        <w:spacing w:line="276" w:lineRule="auto"/>
        <w:ind w:left="567"/>
        <w:jc w:val="both"/>
        <w:rPr>
          <w:rFonts w:asciiTheme="minorHAnsi" w:hAnsiTheme="minorHAnsi"/>
          <w:i/>
          <w:sz w:val="22"/>
          <w:szCs w:val="22"/>
        </w:rPr>
      </w:pPr>
    </w:p>
    <w:p w:rsidR="00A70D7B" w:rsidRPr="006A1A01" w:rsidRDefault="00A70D7B" w:rsidP="006A1A01">
      <w:pPr>
        <w:spacing w:line="276" w:lineRule="auto"/>
        <w:ind w:left="567"/>
        <w:jc w:val="both"/>
        <w:rPr>
          <w:rFonts w:asciiTheme="minorHAnsi" w:hAnsiTheme="minorHAnsi"/>
          <w:i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Niniejsze </w:t>
      </w:r>
      <w:r w:rsidRPr="006A1A01">
        <w:rPr>
          <w:rFonts w:asciiTheme="minorHAnsi" w:hAnsiTheme="minorHAnsi"/>
          <w:i/>
          <w:iCs/>
          <w:sz w:val="22"/>
          <w:szCs w:val="22"/>
        </w:rPr>
        <w:t xml:space="preserve">Wytyczne </w:t>
      </w:r>
      <w:r w:rsidRPr="006A1A01">
        <w:rPr>
          <w:rFonts w:asciiTheme="minorHAnsi" w:hAnsiTheme="minorHAnsi"/>
          <w:sz w:val="22"/>
          <w:szCs w:val="22"/>
        </w:rPr>
        <w:t>za podstawę mają w szczególności poniższe akty prawne: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Przepisy Rozdziału III </w:t>
      </w:r>
      <w:r w:rsidRPr="006A1A01">
        <w:rPr>
          <w:rFonts w:asciiTheme="minorHAnsi" w:hAnsiTheme="minorHAnsi"/>
          <w:i/>
          <w:iCs/>
          <w:sz w:val="22"/>
          <w:szCs w:val="22"/>
        </w:rPr>
        <w:t xml:space="preserve">Kwalifikowalność wydatków i trwałość </w:t>
      </w:r>
      <w:r w:rsidRPr="006A1A01">
        <w:rPr>
          <w:rFonts w:asciiTheme="minorHAnsi" w:hAnsiTheme="minorHAnsi"/>
          <w:sz w:val="22"/>
          <w:szCs w:val="22"/>
        </w:rPr>
        <w:t xml:space="preserve">w Tytule VII </w:t>
      </w:r>
      <w:r w:rsidRPr="006A1A01">
        <w:rPr>
          <w:rFonts w:asciiTheme="minorHAnsi" w:hAnsiTheme="minorHAnsi"/>
          <w:i/>
          <w:iCs/>
          <w:sz w:val="22"/>
          <w:szCs w:val="22"/>
        </w:rPr>
        <w:t>Wsparcie finansowe z</w:t>
      </w:r>
      <w:r w:rsidRPr="006A1A01">
        <w:rPr>
          <w:rFonts w:asciiTheme="minorHAnsi" w:hAnsiTheme="minorHAnsi"/>
          <w:sz w:val="22"/>
          <w:szCs w:val="22"/>
        </w:rPr>
        <w:t> </w:t>
      </w:r>
      <w:r w:rsidRPr="006A1A01">
        <w:rPr>
          <w:rFonts w:asciiTheme="minorHAnsi" w:hAnsiTheme="minorHAnsi"/>
          <w:i/>
          <w:iCs/>
          <w:sz w:val="22"/>
          <w:szCs w:val="22"/>
        </w:rPr>
        <w:t xml:space="preserve">EFSI Rozporządzenia Parlamentu Europejskiego i Rady (UE) nr 1303/2013 </w:t>
      </w:r>
      <w:r w:rsidRPr="006A1A01">
        <w:rPr>
          <w:rFonts w:asciiTheme="minorHAnsi" w:hAnsiTheme="minorHAnsi"/>
          <w:sz w:val="22"/>
          <w:szCs w:val="22"/>
        </w:rPr>
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uchylającego rozporządzenie Rady (WE) nr 1083/2006 (Dz. Urz. UE L 347 z 20.12.2013, str. 320, z </w:t>
      </w:r>
      <w:proofErr w:type="spellStart"/>
      <w:r w:rsidRPr="006A1A01">
        <w:rPr>
          <w:rFonts w:asciiTheme="minorHAnsi" w:hAnsiTheme="minorHAnsi"/>
          <w:sz w:val="22"/>
          <w:szCs w:val="22"/>
        </w:rPr>
        <w:t>późn</w:t>
      </w:r>
      <w:proofErr w:type="spellEnd"/>
      <w:r w:rsidRPr="006A1A01">
        <w:rPr>
          <w:rFonts w:asciiTheme="minorHAnsi" w:hAnsiTheme="minorHAnsi"/>
          <w:sz w:val="22"/>
          <w:szCs w:val="22"/>
        </w:rPr>
        <w:t>. zm.) zwane dalej rozporządzeniem ogólnym,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Rozporządzenie Parlamentu Europejskiego i Rady (UE) nr 1301/2013 z dnia 17 grudnia 2013 r. w sprawie Europejskiego Funduszu Rozwoju Regionalnego i przepisów szczególnych dotyczących celu „Inwestycje na rzecz wzrostu i zatrudnienia” oraz w sprawie uchylenia rozporządzenia (WE) nr 1080/2006 (</w:t>
      </w:r>
      <w:proofErr w:type="spellStart"/>
      <w:r w:rsidRPr="006A1A01">
        <w:rPr>
          <w:rFonts w:asciiTheme="minorHAnsi" w:hAnsiTheme="minorHAnsi"/>
          <w:sz w:val="22"/>
          <w:szCs w:val="22"/>
        </w:rPr>
        <w:t>Dz.Urz</w:t>
      </w:r>
      <w:proofErr w:type="spellEnd"/>
      <w:r w:rsidRPr="006A1A01">
        <w:rPr>
          <w:rFonts w:asciiTheme="minorHAnsi" w:hAnsiTheme="minorHAnsi"/>
          <w:sz w:val="22"/>
          <w:szCs w:val="22"/>
        </w:rPr>
        <w:t>. UE L 347 z 20.12.2013 str. 289) zwane dalej rozporządzeniem EFRR,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Wytyczne Ministra Infrastruktury i Rozwoju w zakresie kwalifikowalności wydatków w ramach Europejskiego Funduszu Rozwoju Regionalnego, Europejskiego Funduszu Społecznego oraz Funduszu Spójności na lata 2014-2020.</w:t>
      </w:r>
    </w:p>
    <w:p w:rsidR="00695468" w:rsidRPr="006A1A01" w:rsidRDefault="00695468" w:rsidP="00714DB6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Ponadto, zakres przedmiotowy projektów musi być zgodny z odpowiednimi przepisami krajowymi oraz z dokumentami wydanymi przez Instytucję Zarządzającą RPO </w:t>
      </w:r>
      <w:proofErr w:type="spellStart"/>
      <w:r w:rsidRPr="006A1A01">
        <w:rPr>
          <w:rFonts w:asciiTheme="minorHAnsi" w:hAnsiTheme="minorHAnsi"/>
          <w:sz w:val="22"/>
          <w:szCs w:val="22"/>
        </w:rPr>
        <w:t>WiM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 2014-2020, w tym w szczególności: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567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hAnsiTheme="minorHAnsi"/>
          <w:sz w:val="22"/>
          <w:szCs w:val="22"/>
        </w:rPr>
        <w:t xml:space="preserve">RPO </w:t>
      </w:r>
      <w:proofErr w:type="spellStart"/>
      <w:r w:rsidRPr="006A1A01">
        <w:rPr>
          <w:rFonts w:asciiTheme="minorHAnsi" w:hAnsiTheme="minorHAnsi"/>
          <w:sz w:val="22"/>
          <w:szCs w:val="22"/>
        </w:rPr>
        <w:t>WiM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 2014-2020, zatwierdzonym przez Komisję Europejską w dniu 12 lutego 2015 r.,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567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hAnsiTheme="minorHAnsi"/>
          <w:sz w:val="22"/>
          <w:szCs w:val="22"/>
        </w:rPr>
        <w:t xml:space="preserve">Szczegółowym opisem </w:t>
      </w:r>
      <w:r w:rsidRPr="006A1A01">
        <w:rPr>
          <w:rFonts w:asciiTheme="minorHAnsi" w:eastAsiaTheme="minorHAnsi" w:hAnsiTheme="minorHAnsi"/>
          <w:sz w:val="22"/>
          <w:szCs w:val="22"/>
          <w:lang w:eastAsia="en-US"/>
        </w:rPr>
        <w:t>osi priorytetowej Efektywność energetyczna Regionalnego Programu Operacyjnego Województwa Warmińsko-Mazurskiego na lata 2014-2020 zatwierdzonym przez Zarząd Województwa Warmińsko-Mazurskiego w dniu 22 grudnia 2015 r.,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567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eastAsiaTheme="minorHAnsi" w:hAnsiTheme="minorHAnsi"/>
          <w:sz w:val="22"/>
          <w:szCs w:val="22"/>
          <w:lang w:eastAsia="en-US"/>
        </w:rPr>
        <w:t>Szczegółowym opisem osi priorytetowej Środowisko przyrodnicze i racjonalne wykorzystanie zasobów Regionalnego Programu Operacyjnego Województwa Warmińsko-Mazurskiego na lata 2014-2020 zatwierdzonym przez Zarząd Województwa Warmińsko-Mazurskiego w dniu 22 grudnia 2015 r..</w:t>
      </w:r>
    </w:p>
    <w:p w:rsidR="00695468" w:rsidRPr="006A1A01" w:rsidRDefault="00695468" w:rsidP="006A1A01">
      <w:pPr>
        <w:spacing w:line="276" w:lineRule="auto"/>
        <w:ind w:hanging="567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Pr="006A1A01" w:rsidRDefault="00A70D7B" w:rsidP="006A1A01">
      <w:pPr>
        <w:pStyle w:val="Nagwek1"/>
        <w:spacing w:before="0" w:line="276" w:lineRule="auto"/>
        <w:jc w:val="both"/>
        <w:rPr>
          <w:rFonts w:asciiTheme="minorHAnsi" w:hAnsiTheme="minorHAnsi"/>
          <w:szCs w:val="22"/>
        </w:rPr>
      </w:pPr>
      <w:bookmarkStart w:id="5" w:name="_Toc434411854"/>
      <w:bookmarkStart w:id="6" w:name="_Toc439936645"/>
      <w:bookmarkStart w:id="7" w:name="_Toc429391453"/>
      <w:r>
        <w:rPr>
          <w:rFonts w:asciiTheme="minorHAnsi" w:hAnsiTheme="minorHAnsi"/>
          <w:szCs w:val="22"/>
        </w:rPr>
        <w:t xml:space="preserve">III </w:t>
      </w:r>
      <w:r w:rsidR="00695468" w:rsidRPr="006A1A01">
        <w:rPr>
          <w:rFonts w:asciiTheme="minorHAnsi" w:hAnsiTheme="minorHAnsi"/>
          <w:szCs w:val="22"/>
        </w:rPr>
        <w:t>Cel i zakres regulacji</w:t>
      </w:r>
      <w:bookmarkEnd w:id="5"/>
      <w:bookmarkEnd w:id="6"/>
    </w:p>
    <w:p w:rsidR="00695468" w:rsidRPr="006A1A01" w:rsidRDefault="00695468" w:rsidP="00714DB6">
      <w:pPr>
        <w:pStyle w:val="Akapitzlist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kwalifikowalne</w:t>
      </w:r>
    </w:p>
    <w:p w:rsidR="00695468" w:rsidRPr="006A1A01" w:rsidRDefault="00695468" w:rsidP="006A1A01">
      <w:pPr>
        <w:spacing w:line="276" w:lineRule="auto"/>
        <w:ind w:left="567"/>
        <w:jc w:val="both"/>
        <w:rPr>
          <w:rFonts w:asciiTheme="minorHAnsi" w:hAnsiTheme="minorHAnsi"/>
          <w:i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 xml:space="preserve">Za kwalifikowalne uznaje się wszystkie wydatki niezbędne do realizacji projektu, zgodne z zasadami określonymi w części ogólnej Wytycznych horyzontalnych, jak również wydatki szczegółowe wymienione w </w:t>
      </w:r>
      <w:r w:rsidRPr="006A1A01">
        <w:rPr>
          <w:rFonts w:asciiTheme="minorHAnsi" w:hAnsiTheme="minorHAnsi"/>
          <w:sz w:val="22"/>
          <w:szCs w:val="22"/>
        </w:rPr>
        <w:t xml:space="preserve">Wytycznych w sprawie kwalifikowalności wydatków  </w:t>
      </w:r>
      <w:r w:rsidRPr="006A1A01">
        <w:rPr>
          <w:rFonts w:asciiTheme="minorHAnsi" w:hAnsiTheme="minorHAnsi"/>
          <w:i/>
          <w:sz w:val="22"/>
          <w:szCs w:val="22"/>
        </w:rPr>
        <w:t xml:space="preserve">w ramach Osi Priorytetowej 4 Efektywność Energetyczna: Działanie 4.1 Wspieranie wytwarzania i dystrybucji energii pochodzącej ze źródeł odnawialnych; Działanie 4.2 Efektywność energetyczna i </w:t>
      </w:r>
      <w:r w:rsidR="00A70D7B">
        <w:rPr>
          <w:rFonts w:asciiTheme="minorHAnsi" w:hAnsiTheme="minorHAnsi"/>
          <w:i/>
          <w:sz w:val="22"/>
          <w:szCs w:val="22"/>
        </w:rPr>
        <w:t>wykorzystanie OZE w MŚP oraz  w </w:t>
      </w:r>
      <w:r w:rsidRPr="006A1A01">
        <w:rPr>
          <w:rFonts w:asciiTheme="minorHAnsi" w:hAnsiTheme="minorHAnsi"/>
          <w:i/>
          <w:sz w:val="22"/>
          <w:szCs w:val="22"/>
        </w:rPr>
        <w:t xml:space="preserve">ramach Osi Priorytetowej 5 Środowisko przyrodnicze i racjonalne wykorzystanie zasobów: Działanie 5.1 Gospodarka odpadowa; Działanie 5.2 Gospodarka wodno-ściekowa; Działanie 5.3 Ochrona różnorodności biologicznej. </w:t>
      </w:r>
      <w:r w:rsidRPr="006A1A01">
        <w:rPr>
          <w:rFonts w:asciiTheme="minorHAnsi" w:hAnsiTheme="minorHAnsi"/>
          <w:sz w:val="22"/>
          <w:szCs w:val="22"/>
        </w:rPr>
        <w:t xml:space="preserve">Wojewódzki Fundusz Ochrony Środowiska i Gospodarki Wodnej w Olsztynie </w:t>
      </w:r>
      <w:r w:rsidRPr="006A1A01">
        <w:rPr>
          <w:rFonts w:asciiTheme="minorHAnsi" w:hAnsiTheme="minorHAnsi"/>
          <w:i/>
          <w:sz w:val="22"/>
          <w:szCs w:val="22"/>
        </w:rPr>
        <w:t>grudzień 2015 r.</w:t>
      </w:r>
    </w:p>
    <w:p w:rsidR="00695468" w:rsidRDefault="00695468" w:rsidP="006A1A01">
      <w:pPr>
        <w:spacing w:line="276" w:lineRule="auto"/>
        <w:ind w:left="567"/>
        <w:jc w:val="both"/>
        <w:rPr>
          <w:rFonts w:asciiTheme="minorHAnsi" w:hAnsiTheme="minorHAnsi"/>
          <w:noProof/>
          <w:sz w:val="22"/>
          <w:szCs w:val="22"/>
        </w:rPr>
      </w:pPr>
    </w:p>
    <w:p w:rsidR="00A70D7B" w:rsidRDefault="00A70D7B" w:rsidP="006A1A01">
      <w:pPr>
        <w:spacing w:line="276" w:lineRule="auto"/>
        <w:ind w:left="567"/>
        <w:jc w:val="both"/>
        <w:rPr>
          <w:rFonts w:asciiTheme="minorHAnsi" w:hAnsiTheme="minorHAnsi"/>
          <w:noProof/>
          <w:sz w:val="22"/>
          <w:szCs w:val="22"/>
        </w:rPr>
      </w:pPr>
    </w:p>
    <w:p w:rsidR="00A70D7B" w:rsidRPr="006A1A01" w:rsidRDefault="00A70D7B" w:rsidP="006A1A01">
      <w:pPr>
        <w:spacing w:line="276" w:lineRule="auto"/>
        <w:ind w:left="567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niekwalifikowalne:</w:t>
      </w:r>
    </w:p>
    <w:p w:rsidR="00695468" w:rsidRPr="006A1A01" w:rsidRDefault="00695468" w:rsidP="00714DB6">
      <w:pPr>
        <w:pStyle w:val="Akapitzlist"/>
        <w:numPr>
          <w:ilvl w:val="1"/>
          <w:numId w:val="3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Wydatkami niekwalifikowalnymi dla wszystkich typów projektów w ramach poszczególnych Działań, są: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roboty prowadzone w okresach zakazu prowadzenia robót wyszczególnionych w decyzjach środowiskowych (np. w okresach lęgowych ptaków, tarła ryb);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 xml:space="preserve">roboty termomodernizacyjne wykonywane bez ekspertyzy </w:t>
      </w:r>
      <w:r w:rsidRPr="006A1A01">
        <w:rPr>
          <w:rFonts w:asciiTheme="minorHAnsi" w:hAnsiTheme="minorHAnsi"/>
          <w:sz w:val="22"/>
          <w:szCs w:val="22"/>
        </w:rPr>
        <w:t>przyrodniczej stwierdzającą obecność lub brak chronionych gatunków ptaków i nietoperzy w danym obiekcie budowlanym</w:t>
      </w:r>
      <w:r w:rsidRPr="006A1A01">
        <w:rPr>
          <w:rFonts w:asciiTheme="minorHAnsi" w:hAnsiTheme="minorHAnsi"/>
          <w:noProof/>
          <w:sz w:val="22"/>
          <w:szCs w:val="22"/>
        </w:rPr>
        <w:t xml:space="preserve"> lub prace wykonane niezgodnie z ekspertyzą; 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w ramach projektu, realizowane w budynkach mieszkalnych/indywidualnych mieszkaniach, z wyłączeniem wydatków na działania związane z wykorzystaniem energii odnawialnej realizowanych na potrzeby budynków wielorodzinnych (poza indywidualnymi mieszkaniami /domami);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zakup środków transportu;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zakup w ramach projektu agregatu prądotwórczego jako awaryjnego źródła zasilania dla wszystkich obiektów wnioskodawcy znajdujących się w jego władaniu, w tym tych, które pozostają poza projektem lub są już zasilane w energię np. z istniejącej sieci energetycznej;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podatek od czynności aportu wnoszonego do spółek prawa handlowego i cywilnego;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poniesione na opracowanie studium wykonalności/biznes planu lub ich elementów powyżej 10 000,00 zł (brutto);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kolejne wersje studium wykonalności/biznesplanu, dokumentacji technicznej, raportu oddziaływania na środowisko;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operacyjne, tzn. ponoszone w fazie eksploatacji inwestycji;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związane z audytem projektu (nie dotyczy audytu energetycznego);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objęte cross-financingiem;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na promocję projektu poniesione niezgodnie z Wytycznymi MR  w zakresie informacji i promocji programów operacyjnych polityki spójności na lata 2014-2020 z 30 kwietnia 2015 r., Podręcznikiem wnioskodawcy i beneficjenta programów polityki spójności 2014-2020 w zakresie informacji i promocji z 9 lipca 2015 r. oraz niniejszymi Wytycznymi;</w:t>
      </w:r>
    </w:p>
    <w:p w:rsidR="00695468" w:rsidRPr="006A1A01" w:rsidRDefault="00695468" w:rsidP="00714DB6">
      <w:pPr>
        <w:pStyle w:val="Akapitzlist"/>
        <w:numPr>
          <w:ilvl w:val="3"/>
          <w:numId w:val="3"/>
        </w:numPr>
        <w:spacing w:line="276" w:lineRule="auto"/>
        <w:ind w:left="2722" w:hanging="851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koszty promocji zaplanowane we wniosku o dofinansowanie projektu nie mogą przekroczyć 2% wydatków kwalifikowanych wniosku pierwotnie złożonego i nie mogą być wyższe niż 100 000 zł brutto;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dodatkowe roboty budowlane nie przewidziane na etapie składania wniosku o dofinansowanie;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roboty realizowane metodą gospodarczą, tzn. samodzielne wykonywanie prac;</w:t>
      </w:r>
    </w:p>
    <w:p w:rsidR="00695468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na wynagrodzenia będące efektem tworzenia nowych miejsc pracy</w:t>
      </w:r>
      <w:r w:rsidR="001C6089">
        <w:rPr>
          <w:rFonts w:asciiTheme="minorHAnsi" w:hAnsiTheme="minorHAnsi"/>
          <w:noProof/>
          <w:sz w:val="22"/>
          <w:szCs w:val="22"/>
        </w:rPr>
        <w:t>;</w:t>
      </w:r>
    </w:p>
    <w:p w:rsidR="001C6089" w:rsidRPr="006A1A01" w:rsidRDefault="00DD016A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koszty pośrednie</w:t>
      </w:r>
      <w:r w:rsidR="001C6089">
        <w:rPr>
          <w:rFonts w:asciiTheme="minorHAnsi" w:hAnsiTheme="minorHAnsi"/>
          <w:noProof/>
          <w:sz w:val="22"/>
          <w:szCs w:val="22"/>
        </w:rPr>
        <w:t>.</w:t>
      </w:r>
    </w:p>
    <w:p w:rsidR="00695468" w:rsidRPr="006A1A01" w:rsidRDefault="00695468" w:rsidP="00714DB6">
      <w:pPr>
        <w:pStyle w:val="Akapitzlist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 xml:space="preserve">Wytyczne są zgodne z Wytycznymi horyzontalnymi i stanowią ich uszczegółowienie. </w:t>
      </w:r>
    </w:p>
    <w:p w:rsidR="00695468" w:rsidRPr="006A1A01" w:rsidRDefault="00695468" w:rsidP="00714DB6">
      <w:pPr>
        <w:pStyle w:val="Akapitzlist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 zakresie nieuregulowanym niniejszymi Wytycznymi, obowiązują warunki określone w Wytycznych horyzontalnych.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Default="00695468" w:rsidP="006A1A01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A70D7B" w:rsidRPr="006A1A01" w:rsidRDefault="00A70D7B" w:rsidP="006A1A01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Pr="006A1A01" w:rsidRDefault="00A70D7B" w:rsidP="006A1A01">
      <w:pPr>
        <w:pStyle w:val="Nagwek1"/>
        <w:spacing w:before="0" w:line="276" w:lineRule="auto"/>
        <w:jc w:val="both"/>
        <w:rPr>
          <w:rFonts w:asciiTheme="minorHAnsi" w:hAnsiTheme="minorHAnsi"/>
          <w:szCs w:val="22"/>
        </w:rPr>
      </w:pPr>
      <w:bookmarkStart w:id="8" w:name="_Toc439936646"/>
      <w:bookmarkEnd w:id="7"/>
      <w:r>
        <w:rPr>
          <w:rFonts w:asciiTheme="minorHAnsi" w:hAnsiTheme="minorHAnsi"/>
          <w:szCs w:val="22"/>
        </w:rPr>
        <w:lastRenderedPageBreak/>
        <w:t xml:space="preserve">IV </w:t>
      </w:r>
      <w:r w:rsidR="00695468" w:rsidRPr="006A1A01">
        <w:rPr>
          <w:rFonts w:asciiTheme="minorHAnsi" w:hAnsiTheme="minorHAnsi"/>
          <w:szCs w:val="22"/>
        </w:rPr>
        <w:t>Termin poniesienia wydatków</w:t>
      </w:r>
      <w:bookmarkEnd w:id="8"/>
    </w:p>
    <w:p w:rsidR="00695468" w:rsidRPr="006A1A01" w:rsidRDefault="00695468" w:rsidP="00714DB6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 xml:space="preserve">Początkiem okresu kwalifikowalności wydatków dofinansowanych w ramach RPO WiM 2014-2020 jest 1 stycznia 2014 r. Datą końcową kwalifikowalności wydatków jest 30 czerwca 2023r. </w:t>
      </w:r>
    </w:p>
    <w:p w:rsidR="00695468" w:rsidRPr="006A1A01" w:rsidRDefault="00695468" w:rsidP="00714DB6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Terminy poniesienia wydatków kwalifikowalnych w ramach danego projektu określa harmonogram rzeczowo-finansowy</w:t>
      </w:r>
      <w:r w:rsidRPr="006A1A01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6A1A01">
        <w:rPr>
          <w:rFonts w:asciiTheme="minorHAnsi" w:hAnsiTheme="minorHAnsi"/>
          <w:noProof/>
          <w:sz w:val="22"/>
          <w:szCs w:val="22"/>
        </w:rPr>
        <w:t>projektu.</w:t>
      </w:r>
    </w:p>
    <w:p w:rsidR="00695468" w:rsidRPr="006A1A01" w:rsidRDefault="00695468" w:rsidP="00714DB6">
      <w:pPr>
        <w:pStyle w:val="Akapitzlist"/>
        <w:numPr>
          <w:ilvl w:val="1"/>
          <w:numId w:val="4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Terminy te nie mogą wykraczać poza daty graniczne określone powyżej, o ile Regulamin konkursu i umowa o dofinansowanie nie stanowią inaczej.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Pr="006A1A01" w:rsidRDefault="00695468" w:rsidP="006A1A01">
      <w:pPr>
        <w:pStyle w:val="Nagwek1"/>
        <w:spacing w:before="0" w:line="276" w:lineRule="auto"/>
        <w:jc w:val="both"/>
        <w:rPr>
          <w:rFonts w:asciiTheme="minorHAnsi" w:hAnsiTheme="minorHAnsi"/>
          <w:szCs w:val="22"/>
        </w:rPr>
      </w:pPr>
      <w:r w:rsidRPr="006A1A01">
        <w:rPr>
          <w:rFonts w:asciiTheme="minorHAnsi" w:hAnsiTheme="minorHAnsi"/>
          <w:szCs w:val="22"/>
        </w:rPr>
        <w:t xml:space="preserve"> </w:t>
      </w:r>
      <w:bookmarkStart w:id="9" w:name="_Toc439936647"/>
      <w:r w:rsidR="00A70D7B">
        <w:rPr>
          <w:rFonts w:asciiTheme="minorHAnsi" w:hAnsiTheme="minorHAnsi"/>
          <w:szCs w:val="22"/>
        </w:rPr>
        <w:t xml:space="preserve">V </w:t>
      </w:r>
      <w:r w:rsidRPr="006A1A01">
        <w:rPr>
          <w:rFonts w:asciiTheme="minorHAnsi" w:hAnsiTheme="minorHAnsi"/>
          <w:szCs w:val="22"/>
        </w:rPr>
        <w:t>Szczegółowe zasady kwalifikowalności wydatków</w:t>
      </w:r>
      <w:bookmarkEnd w:id="9"/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pStyle w:val="Nagwek2"/>
        <w:spacing w:before="0" w:after="0" w:line="276" w:lineRule="auto"/>
        <w:rPr>
          <w:rFonts w:asciiTheme="minorHAnsi" w:hAnsiTheme="minorHAnsi"/>
          <w:szCs w:val="22"/>
        </w:rPr>
      </w:pPr>
      <w:bookmarkStart w:id="10" w:name="_Toc439936648"/>
      <w:r w:rsidRPr="006A1A01">
        <w:rPr>
          <w:rFonts w:asciiTheme="minorHAnsi" w:hAnsiTheme="minorHAnsi"/>
          <w:szCs w:val="22"/>
        </w:rPr>
        <w:t>Oś Priorytetowa 4 Efektywność Energetyczna</w:t>
      </w:r>
      <w:bookmarkEnd w:id="10"/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1" w:name="_Toc439936649"/>
      <w:r w:rsidRPr="006A1A01">
        <w:rPr>
          <w:rFonts w:asciiTheme="minorHAnsi" w:hAnsiTheme="minorHAnsi"/>
          <w:szCs w:val="22"/>
        </w:rPr>
        <w:t>Działanie 4.1 Wspieranie wytwarzania i dystrybucji energii pochodzącej ze  źródeł odnawialnych</w:t>
      </w:r>
      <w:bookmarkEnd w:id="11"/>
    </w:p>
    <w:p w:rsidR="00695468" w:rsidRPr="006A1A01" w:rsidRDefault="00695468" w:rsidP="00714DB6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przyłącza jednostek wytwarzania energii elektrycznej ze źródeł odnawialnych do najbliższej istniejącej sieci, stanowiące integralną część projektu, niezbędną dla osiągnięcia celów projektu;</w:t>
      </w:r>
    </w:p>
    <w:p w:rsidR="00695468" w:rsidRPr="006A1A01" w:rsidRDefault="00695468" w:rsidP="00714DB6">
      <w:pPr>
        <w:pStyle w:val="Akapitzlist"/>
        <w:numPr>
          <w:ilvl w:val="2"/>
          <w:numId w:val="5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przyłącze rozumiane jest jako odcinek sieci łączący jednostkę/jednostki wytwarzania energii z punktem, w którym następuje rozgraniczenie własności sieci między właścicielem jednostki wytwórczej i operatorem sieci do 5% wydatków kwalifikowalnych oraz do 1 km maksymalnie;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raportu oddziaływania na środowisko, o ile jest wymagany;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infrastruktury technicznej związanej z nową inwestycją, przy czym przez budowę urządzeń infrastruktury technicznej rozumie się instalacje wewnętrzne w obiektach technologicznych, niezbędne drogi wewnętrzne i place technologiczne, itp.;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zakup i montaż urządzeń do magazynowania energii elektrycznej;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budowa/przebudowa przepławek dostosowanych do składu gatunkowego i zdolności migracyjnych ryb, realizowane jako element projektu;</w:t>
      </w:r>
    </w:p>
    <w:p w:rsidR="00695468" w:rsidRPr="006A1A01" w:rsidRDefault="00695468" w:rsidP="00714DB6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wszystkie działania związane z udrażnianiem cieków na potrzeby MEW;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związane z operatem wodno-prawnym i pozwoleniem wodnoprawnym związane z przebudową MEW;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prace związane z utrzymaniem stabilności dna i brzegów z zasięgu oddziaływania progu piętrzącego w przypadku modernizacji MEW;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prace związane z przepuszczaniem rumowiska powstałego przy MEW;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na zakup i montaż pomp gazowych;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prac, które zostaną lub zostały sfinansowane ze środków premii termomodernizacyjnej, zgodnie z ustawą z dnia 21 listopada 2008 r. o wspieraniu termomodernizacji i remontów (Dz. U. Nr 223, poz. 1459, z </w:t>
      </w:r>
      <w:proofErr w:type="spellStart"/>
      <w:r w:rsidRPr="006A1A01">
        <w:rPr>
          <w:rFonts w:asciiTheme="minorHAnsi" w:hAnsiTheme="minorHAnsi"/>
          <w:sz w:val="22"/>
          <w:szCs w:val="22"/>
        </w:rPr>
        <w:t>późn</w:t>
      </w:r>
      <w:proofErr w:type="spellEnd"/>
      <w:r w:rsidRPr="006A1A01">
        <w:rPr>
          <w:rFonts w:asciiTheme="minorHAnsi" w:hAnsiTheme="minorHAnsi"/>
          <w:sz w:val="22"/>
          <w:szCs w:val="22"/>
        </w:rPr>
        <w:t>. zm.).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2" w:name="_Toc439936650"/>
      <w:r w:rsidRPr="006A1A01">
        <w:rPr>
          <w:rFonts w:asciiTheme="minorHAnsi" w:hAnsiTheme="minorHAnsi"/>
          <w:szCs w:val="22"/>
        </w:rPr>
        <w:t>Działanie 4.2 Efektywność energetyczna i wykorzystanie OZE w MŚP</w:t>
      </w:r>
      <w:bookmarkEnd w:id="12"/>
    </w:p>
    <w:p w:rsidR="00695468" w:rsidRPr="006A1A01" w:rsidRDefault="00695468" w:rsidP="00714DB6">
      <w:pPr>
        <w:pStyle w:val="Akapitzlist"/>
        <w:numPr>
          <w:ilvl w:val="0"/>
          <w:numId w:val="6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modernizacji energetycznej obiektów i budynków lub dokończenie tego procesu: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wymiana zewnętrznych przegród przeźroczystych (np. okien, drzwi przeszklonych);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lastRenderedPageBreak/>
        <w:t>ocieplenia stropów:  stropodachu, stropu poddasza, stropu nad piwnicą, podłogi na gruncie;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ściany zewnętrzne (stykające się z powietrzem zewnętrznym, niezależnie od rodzaju ściany − ocieplenie ścian zewnętrznych metodą od zewnątrz bądź od wewnątrz);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bCs/>
          <w:sz w:val="22"/>
          <w:szCs w:val="22"/>
        </w:rPr>
        <w:t>ściany wewnętrzne</w:t>
      </w:r>
      <w:r w:rsidRPr="006A1A0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A1A01">
        <w:rPr>
          <w:rFonts w:asciiTheme="minorHAnsi" w:hAnsiTheme="minorHAnsi"/>
          <w:sz w:val="22"/>
          <w:szCs w:val="22"/>
        </w:rPr>
        <w:t>pomiędzy pomieszczeniami ogrzewanymi i nieogrzewanymi, klatkami schodowymi lub korytarzami.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modernizacja źródeł ciepła na OZE;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modernizacja systemów grzewczo-wentylacyjnych z uwzględnieniem zastosowania wysokosprawnej rekuperacji energii;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modernizacja instalacji wewnętrznej centralnego ogrzewania i ciepłej wody użytkowej;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modernizacja wewnętrznej instalacji elektrycznej i oświetlenia wewnętrznego i zewnętrznego;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eastAsia="TimesNewRoman" w:hAnsiTheme="minorHAnsi"/>
          <w:sz w:val="22"/>
          <w:szCs w:val="22"/>
        </w:rPr>
        <w:t>oświetlenie rozumiane jest jako: lampy, oprawy oświetleniowe i sterowanie oświetleniem zainstalowane wewnątrz budynków;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oprawa oświetleniowa – urządzenie służące do rozsyłania, filtrowania lub przekształcania strumienia świetlnego jednego lub więcej źródeł światła, zawierające, oprócz źródła światła, wszystkie elementy niezbędne do mocowania, ochrony źródła światła i przyłączania go do sieci zasilającej oraz układ stabilizacyjno-zapłonowy, jeśli jest potrzebny; kwalifikowane będą tylko oprawy niezbędne do osiągnięcia założonego efektu w projekcie, w tym oprawy zabezpieczone (np. pyłoodporne, pyłoszczelne, </w:t>
      </w:r>
      <w:proofErr w:type="spellStart"/>
      <w:r w:rsidRPr="006A1A01">
        <w:rPr>
          <w:rFonts w:asciiTheme="minorHAnsi" w:hAnsiTheme="minorHAnsi"/>
          <w:sz w:val="22"/>
          <w:szCs w:val="22"/>
        </w:rPr>
        <w:t>kroploodporne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A1A01">
        <w:rPr>
          <w:rFonts w:asciiTheme="minorHAnsi" w:hAnsiTheme="minorHAnsi"/>
          <w:sz w:val="22"/>
          <w:szCs w:val="22"/>
        </w:rPr>
        <w:t>bryzgoodporne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, deszczoodporne, </w:t>
      </w:r>
      <w:proofErr w:type="spellStart"/>
      <w:r w:rsidRPr="006A1A01">
        <w:rPr>
          <w:rFonts w:asciiTheme="minorHAnsi" w:hAnsiTheme="minorHAnsi"/>
          <w:sz w:val="22"/>
          <w:szCs w:val="22"/>
        </w:rPr>
        <w:t>strugoodporne</w:t>
      </w:r>
      <w:proofErr w:type="spellEnd"/>
      <w:r w:rsidRPr="006A1A01">
        <w:rPr>
          <w:rFonts w:asciiTheme="minorHAnsi" w:hAnsiTheme="minorHAnsi"/>
          <w:sz w:val="22"/>
          <w:szCs w:val="22"/>
        </w:rPr>
        <w:t>, wodoszczelne), przeciwwybuchowe (przeznaczona do pracy w pomieszczeniach zagrożonych wybuchem);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systemy monitoringu i zarządzania energią i/lub wodą jako element projektu;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prac budowalnych – w zakresie niezbędnym do osiągnięcia zakładanych celów projektu, w tym wymiany instalacji oraz koszty odtworzeniowe wynikające z wymiany instalacji z uwzględnieniem zmian technologicznych;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koszty „przełożenia” instalacji odgromowej, tj. demontażu i ponownego montażu; 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wymiany parapetów okiennych i obróbek blacharskich tylko, gdy jest to nierozerwalna część  projektu związana z modernizacją energetyczną budynków;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raportu oddziaływania na środowisko, o ile jest wymagany;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koszt ekspertyzy ornitologicznej i/lub  </w:t>
      </w:r>
      <w:proofErr w:type="spellStart"/>
      <w:r w:rsidRPr="006A1A01">
        <w:rPr>
          <w:rFonts w:asciiTheme="minorHAnsi" w:hAnsiTheme="minorHAnsi"/>
          <w:sz w:val="22"/>
          <w:szCs w:val="22"/>
        </w:rPr>
        <w:t>chiropterologicznej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 na potrzeby robót termomodernizacyjnych, o ile jest wymagana;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audyt energetyczny, zgodnie z definicją ujętą w </w:t>
      </w:r>
      <w:proofErr w:type="spellStart"/>
      <w:r w:rsidRPr="006A1A01">
        <w:rPr>
          <w:rFonts w:asciiTheme="minorHAnsi" w:hAnsiTheme="minorHAnsi"/>
          <w:sz w:val="22"/>
          <w:szCs w:val="22"/>
        </w:rPr>
        <w:t>SzOOP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 Efektywność energetyczna – jako element projektu.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6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na wymianę sprzętu komputerowego, RTV / AGD;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eastAsia="TimesNewRoman" w:hAnsiTheme="minorHAnsi"/>
          <w:sz w:val="22"/>
          <w:szCs w:val="22"/>
        </w:rPr>
        <w:t>specjalistyczne rodzaje oświetlenia wewnętrznego: m.in. wszelkie ozdobne oprawy, oświetlenie kolorowe, podświetlanych tablic, oświetlenia wspomagającego wzrost roślin, oświetlenia dla osób niedowidzących o szczególnych potrzebach w zakresie oświetlenia, specjalistycznego oświetlenia medycznego do przeprowadzenia badań lub operacji, np. w szpitalach, przychodniach czy gabinetach lekarskich i stomatologicznych, oświetlenia scenicznego w teatrach i studiach telewizyjnych, zewnętrznego podświetlenia budynków;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wykonania nowej instalacji odgromowej;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lastRenderedPageBreak/>
        <w:t>wymiana/remont/naprawa dachu, w tym wymiana więźby dachowej oraz wszelkie inne prace mające charakter remontu, a nie ulepszenia termomodernizacyjnego;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pStyle w:val="Nagwek2"/>
        <w:spacing w:before="0" w:after="0" w:line="276" w:lineRule="auto"/>
        <w:rPr>
          <w:rFonts w:asciiTheme="minorHAnsi" w:hAnsiTheme="minorHAnsi"/>
          <w:szCs w:val="22"/>
        </w:rPr>
      </w:pPr>
      <w:bookmarkStart w:id="13" w:name="_Toc439936651"/>
      <w:r w:rsidRPr="006A1A01">
        <w:rPr>
          <w:rFonts w:asciiTheme="minorHAnsi" w:hAnsiTheme="minorHAnsi"/>
          <w:szCs w:val="22"/>
        </w:rPr>
        <w:t>Oś Priorytetowa 5 Środowisko przyrodnicze i racjonalne wykorzystanie zasobów</w:t>
      </w:r>
      <w:bookmarkEnd w:id="13"/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4" w:name="_Toc439936652"/>
      <w:r w:rsidRPr="006A1A01">
        <w:rPr>
          <w:rFonts w:asciiTheme="minorHAnsi" w:hAnsiTheme="minorHAnsi"/>
          <w:szCs w:val="22"/>
        </w:rPr>
        <w:t>Działanie 5.1 Gospodarka odpadowa</w:t>
      </w:r>
      <w:bookmarkEnd w:id="14"/>
    </w:p>
    <w:p w:rsidR="00695468" w:rsidRPr="006A1A01" w:rsidRDefault="00695468" w:rsidP="00714DB6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raportu oddziaływania na środowisko, o ile jest wymagany;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ścieżki informacyjno-edukacyjne jako element projektu.</w:t>
      </w:r>
    </w:p>
    <w:p w:rsidR="00695468" w:rsidRPr="006A1A01" w:rsidRDefault="00695468" w:rsidP="00714DB6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podatek od towarów i usług VAT;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niezgodne z dokumentami planistycznymi opracowanymi na poziomie krajowym/wojewódzkim/lokalnym, w szczególności z KPGO oraz WPGO;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związane ze zbiórką i transportem odpadów zawierających azbest;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w przypadku zadań informacyjno-edukacyjnych: </w:t>
      </w:r>
    </w:p>
    <w:p w:rsidR="00695468" w:rsidRPr="006A1A01" w:rsidRDefault="00695468" w:rsidP="00714DB6">
      <w:pPr>
        <w:pStyle w:val="Akapitzlist"/>
        <w:numPr>
          <w:ilvl w:val="2"/>
          <w:numId w:val="7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zakupu urządzeń i sprzętu niezbędnego do organizacji imprez (m.in. nagłośnienie, oświetlenie, wieża realizatorska);</w:t>
      </w:r>
    </w:p>
    <w:p w:rsidR="00695468" w:rsidRPr="006A1A01" w:rsidRDefault="00695468" w:rsidP="00714DB6">
      <w:pPr>
        <w:pStyle w:val="Akapitzlist"/>
        <w:numPr>
          <w:ilvl w:val="2"/>
          <w:numId w:val="7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związane z realizacją umów z artystami biorącymi udział w imprezie.</w:t>
      </w:r>
    </w:p>
    <w:p w:rsidR="00695468" w:rsidRPr="006A1A01" w:rsidRDefault="00695468" w:rsidP="006A1A01">
      <w:p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5" w:name="_Toc439936653"/>
      <w:r w:rsidRPr="006A1A01">
        <w:rPr>
          <w:rFonts w:asciiTheme="minorHAnsi" w:hAnsiTheme="minorHAnsi"/>
          <w:szCs w:val="22"/>
        </w:rPr>
        <w:t>Działanie 5.2 Gospodarka wodno-ściekowa</w:t>
      </w:r>
      <w:bookmarkEnd w:id="15"/>
    </w:p>
    <w:p w:rsidR="00695468" w:rsidRPr="006A1A01" w:rsidRDefault="00695468" w:rsidP="00714DB6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8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raportu oddziaływania na środowisko, o ile jest wymagany;</w:t>
      </w:r>
    </w:p>
    <w:p w:rsidR="00695468" w:rsidRPr="006A1A01" w:rsidRDefault="00695468" w:rsidP="00714DB6">
      <w:pPr>
        <w:pStyle w:val="Akapitzlist"/>
        <w:numPr>
          <w:ilvl w:val="1"/>
          <w:numId w:val="8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elementy kanalizacji i wodociągów, zgodnie z poniższym schematem:</w:t>
      </w:r>
    </w:p>
    <w:p w:rsidR="00695468" w:rsidRPr="006A1A01" w:rsidRDefault="00695468" w:rsidP="006A1A01">
      <w:pPr>
        <w:spacing w:line="276" w:lineRule="auto"/>
        <w:ind w:left="993" w:firstLine="141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spacing w:line="276" w:lineRule="auto"/>
        <w:ind w:left="993" w:firstLine="141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Rysunek 1. Kanalizacja grawitacyjna i wodociągi</w:t>
      </w:r>
    </w:p>
    <w:p w:rsidR="00695468" w:rsidRPr="006A1A01" w:rsidRDefault="00F33E88" w:rsidP="006A1A0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13A788F" wp14:editId="6B2FF704">
            <wp:extent cx="2828925" cy="3790950"/>
            <wp:effectExtent l="19050" t="0" r="9525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01" w:rsidRDefault="006A1A01" w:rsidP="006A1A01">
      <w:pPr>
        <w:spacing w:line="276" w:lineRule="auto"/>
        <w:ind w:left="993" w:firstLine="141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spacing w:line="276" w:lineRule="auto"/>
        <w:ind w:left="993" w:firstLine="141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lastRenderedPageBreak/>
        <w:t>Rysunek 2. Kanalizacja ciśnieniowa</w:t>
      </w:r>
    </w:p>
    <w:p w:rsidR="00695468" w:rsidRDefault="00F33E88" w:rsidP="006A1A01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A24320A" wp14:editId="49A07E87">
            <wp:extent cx="2924175" cy="1028700"/>
            <wp:effectExtent l="19050" t="0" r="9525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01" w:rsidRPr="006A1A01" w:rsidRDefault="006A1A01" w:rsidP="006A1A0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8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Podatek od towarów i usług VAT.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b/>
          <w:bCs/>
          <w:noProof/>
          <w:kern w:val="32"/>
          <w:sz w:val="22"/>
          <w:szCs w:val="22"/>
          <w:lang w:eastAsia="ko-KR"/>
        </w:rPr>
      </w:pPr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6" w:name="_Toc439936654"/>
      <w:r w:rsidRPr="006A1A01">
        <w:rPr>
          <w:rFonts w:asciiTheme="minorHAnsi" w:hAnsiTheme="minorHAnsi"/>
          <w:szCs w:val="22"/>
        </w:rPr>
        <w:t>Działanie 5.3 Ochrona różnorodności biologicznej</w:t>
      </w:r>
      <w:bookmarkEnd w:id="16"/>
    </w:p>
    <w:p w:rsidR="00695468" w:rsidRPr="006A1A01" w:rsidRDefault="00695468" w:rsidP="00714DB6">
      <w:pPr>
        <w:pStyle w:val="Akapitzlist"/>
        <w:numPr>
          <w:ilvl w:val="0"/>
          <w:numId w:val="9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dotyczące zmniejszenia presji na gatunki i siedliska m.in. poprzez ograniczanie dostępu do ostoi wybranych gatunków, właściwe ukierunkowanie ruchu turystycznego (budowa lub modernizacja małej infrastruktury służącej zabezpieczeniu obszarów chronionych przed nadmierną i niekontrolowaną presją turystów w tym: budowa lub modernizacja ścieżek dydaktycznych, ścieżek rowerowych, szlaków, parkingów, punktów widokowych, wież widokowych, zadaszeń);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rekultywacja jezior będzie rozumiana jako możliwe do zrealizowania działania mające na celu obniżenie ładunków zewnętrznych obciążających jezioro, ujęte w planie zintegrowanych działań ochronnych i/lub rekultywacyjnych dla obszaru zlewni jeziora, w szczególności w zakresie:</w:t>
      </w:r>
    </w:p>
    <w:p w:rsidR="00695468" w:rsidRPr="006A1A01" w:rsidRDefault="00695468" w:rsidP="00714DB6">
      <w:pPr>
        <w:pStyle w:val="Akapitzlist"/>
        <w:numPr>
          <w:ilvl w:val="2"/>
          <w:numId w:val="9"/>
        </w:numPr>
        <w:spacing w:line="276" w:lineRule="auto"/>
        <w:ind w:left="1134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ograniczenia nadmiernej / przyśpieszonej eutrofizacji wód jeziora;</w:t>
      </w:r>
    </w:p>
    <w:p w:rsidR="00695468" w:rsidRPr="006A1A01" w:rsidRDefault="00695468" w:rsidP="00714DB6">
      <w:pPr>
        <w:pStyle w:val="Akapitzlist"/>
        <w:numPr>
          <w:ilvl w:val="2"/>
          <w:numId w:val="9"/>
        </w:numPr>
        <w:spacing w:line="276" w:lineRule="auto"/>
        <w:ind w:left="1134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przeciwdziałania zanieczyszczeniom substancjami priorytetowymi;</w:t>
      </w:r>
    </w:p>
    <w:p w:rsidR="00695468" w:rsidRPr="006A1A01" w:rsidRDefault="00695468" w:rsidP="00714DB6">
      <w:pPr>
        <w:pStyle w:val="Akapitzlist"/>
        <w:numPr>
          <w:ilvl w:val="2"/>
          <w:numId w:val="9"/>
        </w:numPr>
        <w:spacing w:line="276" w:lineRule="auto"/>
        <w:ind w:left="2127" w:hanging="99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przeciwdziałania zakłóceniom hydrologicznym oraz degradacji walorów morfologicznych;</w:t>
      </w:r>
    </w:p>
    <w:p w:rsidR="00695468" w:rsidRPr="006A1A01" w:rsidRDefault="00695468" w:rsidP="00714DB6">
      <w:pPr>
        <w:pStyle w:val="Akapitzlist"/>
        <w:numPr>
          <w:ilvl w:val="2"/>
          <w:numId w:val="9"/>
        </w:numPr>
        <w:spacing w:line="276" w:lineRule="auto"/>
        <w:ind w:left="1134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poprawy zasobów naturalnych ekosystemów wodnych.</w:t>
      </w:r>
    </w:p>
    <w:p w:rsidR="00695468" w:rsidRPr="006A1A01" w:rsidRDefault="00695468" w:rsidP="006A1A01">
      <w:pPr>
        <w:pStyle w:val="Akapitzlist"/>
        <w:spacing w:line="276" w:lineRule="auto"/>
        <w:ind w:left="1134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9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na wyposażenie parków krajobrazowych, rezerwatów, które nie są związane z ochroną bioróżnorodności oraz nie są związane bezpośrednio z realizacją programów edukacyjnych i ekspozycji z zakresu ekologii w ramach projektu;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inwentaryzacji przyrodniczych;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monitoringu środowiskowego;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spoty TV;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wynajęcia powierzchni reklamowej (m.in. słupy reklamowe, billboardy, telebimy, ekrany reklamowe LED oraz pozostałych nośnikach informacji np. powierzchnie reklamowe na strojach sportowych, parkietach, boiskach);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koszty zabiegów związanych z </w:t>
      </w:r>
      <w:proofErr w:type="spellStart"/>
      <w:r w:rsidRPr="006A1A01">
        <w:rPr>
          <w:rFonts w:asciiTheme="minorHAnsi" w:hAnsiTheme="minorHAnsi"/>
          <w:sz w:val="22"/>
          <w:szCs w:val="22"/>
        </w:rPr>
        <w:t>renaturyzacją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 cieków (czyszczenie, pogłębianie itp.);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budowa i modernizacja dróg, z wyłączeniem infrastruktury towarzyszącej niezbędnej do osiągnięcia celów określonych w Działaniu;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budowa i modernizacja budynków;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wymiana/remont/naprawa dachu;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lastRenderedPageBreak/>
        <w:t>koszty związane z wyposażeniem i funkcjonowaniem bazy noclegowej oraz bazy gastronomicznej;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mała architektura, infrastruktura rekreacyjna i sportowa, zakup i montaż urządzeń do monitoringu bezpieczeństwa itp. – powyżej 30% kosztów kwalifikowanych, nie dotyczy kosztów, o których mowa w pkt 1.1.;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cateringu w ramach organizacji przedsięwzięć dotyczących edukacji ekologicznej;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honoraria dla artystów biorących udział w wydarzeniach związanych z prowadzeniem kampanii edukacyjno-informacyjnych, (m.in. wystawy, warsztaty, spektakle, kampanie promocyjne, sesje edukacyjne);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honoraria za organizację tj. m.in. prowadzenie i kierownictwo wydarzeń (m.in. reżyseria, konferansjerka, scenarzyści, scenografia);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honoraria za opracowanie scenariusza wydarzeń.</w:t>
      </w:r>
    </w:p>
    <w:p w:rsidR="0040221E" w:rsidRPr="00695468" w:rsidRDefault="0040221E" w:rsidP="006A1A01">
      <w:pPr>
        <w:pStyle w:val="Nagwek1"/>
        <w:jc w:val="both"/>
        <w:rPr>
          <w:rFonts w:asciiTheme="minorHAnsi" w:eastAsia="Calibri" w:hAnsiTheme="minorHAnsi" w:cs="Calibri"/>
          <w:color w:val="000000"/>
          <w:szCs w:val="22"/>
          <w:lang w:eastAsia="en-US"/>
        </w:rPr>
      </w:pPr>
    </w:p>
    <w:sectPr w:rsidR="0040221E" w:rsidRPr="00695468" w:rsidSect="006677CF">
      <w:headerReference w:type="default" r:id="rId10"/>
      <w:headerReference w:type="first" r:id="rId11"/>
      <w:pgSz w:w="11906" w:h="16838"/>
      <w:pgMar w:top="1559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8E" w:rsidRDefault="006A488E" w:rsidP="00B60552">
      <w:r>
        <w:separator/>
      </w:r>
    </w:p>
  </w:endnote>
  <w:endnote w:type="continuationSeparator" w:id="0">
    <w:p w:rsidR="006A488E" w:rsidRDefault="006A488E" w:rsidP="00B6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8E" w:rsidRDefault="006A488E" w:rsidP="00B60552">
      <w:r>
        <w:separator/>
      </w:r>
    </w:p>
  </w:footnote>
  <w:footnote w:type="continuationSeparator" w:id="0">
    <w:p w:rsidR="006A488E" w:rsidRDefault="006A488E" w:rsidP="00B6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89" w:rsidRDefault="00131F6D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2.55pt;margin-top:9pt;width:471.2pt;height:70.5pt;z-index:25165721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" o:allowincell="f" filled="f" stroked="f">
          <v:textbox inset=",0,,0">
            <w:txbxContent>
              <w:p w:rsidR="0015570D" w:rsidRPr="0015570D" w:rsidRDefault="0015570D" w:rsidP="0015570D">
                <w:pPr>
                  <w:tabs>
                    <w:tab w:val="left" w:pos="142"/>
                  </w:tabs>
                  <w:ind w:left="567"/>
                  <w:jc w:val="right"/>
                  <w:rPr>
                    <w:rFonts w:ascii="Calibri" w:hAnsi="Calibri"/>
                    <w:color w:val="000000"/>
                    <w:sz w:val="22"/>
                    <w:szCs w:val="22"/>
                    <w:lang w:eastAsia="en-US"/>
                  </w:rPr>
                </w:pPr>
                <w:r w:rsidRPr="0015570D">
                  <w:rPr>
                    <w:rFonts w:ascii="Calibri" w:hAnsi="Calibri"/>
                    <w:color w:val="000000"/>
                    <w:sz w:val="22"/>
                    <w:szCs w:val="22"/>
                    <w:lang w:eastAsia="en-US"/>
                  </w:rPr>
                  <w:t>Wytyczne w sprawie kwalifikowalności wydatków w ramach</w:t>
                </w:r>
              </w:p>
              <w:p w:rsidR="0015570D" w:rsidRPr="0015570D" w:rsidRDefault="0015570D" w:rsidP="0015570D">
                <w:pPr>
                  <w:tabs>
                    <w:tab w:val="left" w:pos="142"/>
                  </w:tabs>
                  <w:ind w:left="567"/>
                  <w:jc w:val="right"/>
                  <w:rPr>
                    <w:rFonts w:ascii="Calibri" w:hAnsi="Calibri"/>
                    <w:color w:val="000000"/>
                    <w:sz w:val="22"/>
                    <w:szCs w:val="22"/>
                    <w:lang w:eastAsia="en-US"/>
                  </w:rPr>
                </w:pPr>
                <w:r w:rsidRPr="0015570D">
                  <w:rPr>
                    <w:rFonts w:ascii="Calibri" w:hAnsi="Calibri"/>
                    <w:color w:val="000000"/>
                    <w:sz w:val="22"/>
                    <w:szCs w:val="22"/>
                    <w:lang w:eastAsia="en-US"/>
                  </w:rPr>
                  <w:t>Regionalnego Programu Operacyjnego</w:t>
                </w:r>
              </w:p>
              <w:p w:rsidR="0015570D" w:rsidRPr="0015570D" w:rsidRDefault="0015570D" w:rsidP="0015570D">
                <w:pPr>
                  <w:tabs>
                    <w:tab w:val="left" w:pos="142"/>
                  </w:tabs>
                  <w:ind w:left="567"/>
                  <w:jc w:val="right"/>
                  <w:rPr>
                    <w:rFonts w:ascii="Calibri" w:hAnsi="Calibri"/>
                    <w:color w:val="000000"/>
                    <w:sz w:val="22"/>
                    <w:szCs w:val="22"/>
                    <w:lang w:eastAsia="en-US"/>
                  </w:rPr>
                </w:pPr>
                <w:r w:rsidRPr="0015570D">
                  <w:rPr>
                    <w:rFonts w:ascii="Calibri" w:hAnsi="Calibri"/>
                    <w:color w:val="000000"/>
                    <w:sz w:val="22"/>
                    <w:szCs w:val="22"/>
                    <w:lang w:eastAsia="en-US"/>
                  </w:rPr>
                  <w:t>Województwa Warmińsko-Mazurskiego na lata 2014-2020</w:t>
                </w:r>
              </w:p>
              <w:p w:rsidR="0015570D" w:rsidRPr="0015570D" w:rsidRDefault="0015570D" w:rsidP="0015570D">
                <w:pPr>
                  <w:tabs>
                    <w:tab w:val="left" w:pos="142"/>
                  </w:tabs>
                  <w:ind w:left="567"/>
                  <w:jc w:val="right"/>
                  <w:rPr>
                    <w:rFonts w:ascii="Calibri" w:hAnsi="Calibri"/>
                    <w:color w:val="000000"/>
                    <w:sz w:val="22"/>
                    <w:szCs w:val="22"/>
                    <w:lang w:eastAsia="en-US"/>
                  </w:rPr>
                </w:pPr>
                <w:r w:rsidRPr="0015570D">
                  <w:rPr>
                    <w:rFonts w:ascii="Calibri" w:hAnsi="Calibri"/>
                    <w:color w:val="000000"/>
                    <w:sz w:val="22"/>
                    <w:szCs w:val="22"/>
                    <w:lang w:eastAsia="en-US"/>
                  </w:rPr>
                  <w:t>w zakresie Europejskiego Funduszu Rozwoju Regionalnego</w:t>
                </w:r>
              </w:p>
              <w:p w:rsidR="00A85708" w:rsidRPr="0015570D" w:rsidRDefault="00A85708" w:rsidP="0040392D">
                <w:pPr>
                  <w:jc w:val="right"/>
                  <w:rPr>
                    <w:rFonts w:ascii="Calibri" w:hAnsi="Calibri"/>
                  </w:rPr>
                </w:pPr>
              </w:p>
              <w:p w:rsidR="00A85708" w:rsidRPr="0015570D" w:rsidRDefault="00A85708" w:rsidP="0040392D">
                <w:pPr>
                  <w:jc w:val="right"/>
                  <w:rPr>
                    <w:rFonts w:ascii="Calibri" w:hAnsi="Calibri"/>
                  </w:rPr>
                </w:pPr>
              </w:p>
              <w:p w:rsidR="00B37E89" w:rsidRPr="0015570D" w:rsidRDefault="00B37E89" w:rsidP="0040392D">
                <w:pPr>
                  <w:jc w:val="right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63.95pt;margin-top:60.05pt;width:493.3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" strokecolor="#4f81bd" strokeweight="3pt">
          <v:shadow color="#868686"/>
        </v:shape>
      </w:pict>
    </w:r>
    <w:r>
      <w:rPr>
        <w:noProof/>
      </w:rPr>
      <w:pict>
        <v:shape id="Text Box 1" o:spid="_x0000_s2049" type="#_x0000_t202" style="position:absolute;margin-left:524.4pt;margin-top:24.95pt;width:56.1pt;height:13.8pt;z-index:251656192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" o:allowincell="f" fillcolor="#4f81bd" stroked="f">
          <v:textbox style="mso-fit-shape-to-text:t" inset=",0,,0">
            <w:txbxContent>
              <w:p w:rsidR="00B37E89" w:rsidRPr="0015570D" w:rsidRDefault="00137E1A">
                <w:pPr>
                  <w:rPr>
                    <w:rFonts w:ascii="Calibri" w:hAnsi="Calibri"/>
                    <w:color w:val="FFFFFF"/>
                    <w:sz w:val="22"/>
                    <w:szCs w:val="22"/>
                  </w:rPr>
                </w:pPr>
                <w:r w:rsidRPr="0015570D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 w:rsidR="00B37E89" w:rsidRPr="0015570D">
                  <w:rPr>
                    <w:rFonts w:ascii="Calibri" w:hAnsi="Calibri"/>
                    <w:sz w:val="22"/>
                    <w:szCs w:val="22"/>
                  </w:rPr>
                  <w:instrText xml:space="preserve"> PAGE   \* MERGEFORMAT </w:instrText>
                </w:r>
                <w:r w:rsidRPr="0015570D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131F6D" w:rsidRPr="00131F6D">
                  <w:rPr>
                    <w:rFonts w:ascii="Calibri" w:hAnsi="Calibri"/>
                    <w:noProof/>
                    <w:color w:val="FFFFFF"/>
                    <w:sz w:val="22"/>
                    <w:szCs w:val="22"/>
                  </w:rPr>
                  <w:t>2</w:t>
                </w:r>
                <w:r w:rsidRPr="0015570D">
                  <w:rPr>
                    <w:rFonts w:ascii="Calibri" w:hAnsi="Calibri"/>
                    <w:noProof/>
                    <w:color w:val="FFFFFF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89" w:rsidRDefault="00131F6D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margin-left:71.45pt;margin-top:54.1pt;width:493.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" strokecolor="#4f81bd" strokeweight="3pt">
          <v:shadow color="#868686"/>
        </v:shape>
      </w:pict>
    </w:r>
    <w:r w:rsidR="00A70D7B" w:rsidRPr="00A70D7B">
      <w:rPr>
        <w:noProof/>
      </w:rPr>
      <w:drawing>
        <wp:inline distT="0" distB="0" distL="0" distR="0">
          <wp:extent cx="6120130" cy="635454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5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0C3"/>
    <w:multiLevelType w:val="hybridMultilevel"/>
    <w:tmpl w:val="A8CC1F44"/>
    <w:name w:val="WW8Num53223232"/>
    <w:lvl w:ilvl="0" w:tplc="B31247B2">
      <w:start w:val="9"/>
      <w:numFmt w:val="ordinal"/>
      <w:lvlText w:val="1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6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5C54C4"/>
    <w:multiLevelType w:val="hybridMultilevel"/>
    <w:tmpl w:val="F6C4556A"/>
    <w:name w:val="WW8Num53223"/>
    <w:lvl w:ilvl="0" w:tplc="30348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C1264">
      <w:start w:val="1"/>
      <w:numFmt w:val="ordin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C5B34"/>
    <w:multiLevelType w:val="hybridMultilevel"/>
    <w:tmpl w:val="65D052C2"/>
    <w:lvl w:ilvl="0" w:tplc="4BC884E6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705BBB"/>
    <w:multiLevelType w:val="multilevel"/>
    <w:tmpl w:val="78D62B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6F1D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0C2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8164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B710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AA2D0A"/>
    <w:multiLevelType w:val="multilevel"/>
    <w:tmpl w:val="BAEEDB18"/>
    <w:name w:val="WW8Num53223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4906F1"/>
    <w:multiLevelType w:val="hybridMultilevel"/>
    <w:tmpl w:val="F00447D4"/>
    <w:name w:val="WW8Num5322323"/>
    <w:lvl w:ilvl="0" w:tplc="7A92A7D6">
      <w:start w:val="1"/>
      <w:numFmt w:val="ordinal"/>
      <w:lvlText w:val="12.2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53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1F27A6"/>
    <w:multiLevelType w:val="hybridMultilevel"/>
    <w:tmpl w:val="843EC2A6"/>
    <w:name w:val="WW8Num5322"/>
    <w:lvl w:ilvl="0" w:tplc="FFBEB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E0E87"/>
    <w:multiLevelType w:val="hybridMultilevel"/>
    <w:tmpl w:val="1D7A1E32"/>
    <w:lvl w:ilvl="0" w:tplc="4BC884E6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D91CCC"/>
    <w:multiLevelType w:val="hybridMultilevel"/>
    <w:tmpl w:val="D66EE694"/>
    <w:name w:val="WW8Num53223222"/>
    <w:lvl w:ilvl="0" w:tplc="B31247B2">
      <w:start w:val="9"/>
      <w:numFmt w:val="ordinal"/>
      <w:lvlText w:val="1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A368C"/>
    <w:multiLevelType w:val="hybridMultilevel"/>
    <w:tmpl w:val="8A22A2BA"/>
    <w:name w:val="WW8Num5322322"/>
    <w:lvl w:ilvl="0" w:tplc="92C4FE76">
      <w:start w:val="1"/>
      <w:numFmt w:val="ordinal"/>
      <w:lvlText w:val="1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25D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DE28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125DFA"/>
    <w:multiLevelType w:val="hybridMultilevel"/>
    <w:tmpl w:val="0108F0A6"/>
    <w:name w:val="WW8Num5322324"/>
    <w:lvl w:ilvl="0" w:tplc="3F565930">
      <w:start w:val="1"/>
      <w:numFmt w:val="ordinal"/>
      <w:lvlText w:val="1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17"/>
  </w:num>
  <w:num w:numId="6">
    <w:abstractNumId w:val="16"/>
  </w:num>
  <w:num w:numId="7">
    <w:abstractNumId w:val="5"/>
  </w:num>
  <w:num w:numId="8">
    <w:abstractNumId w:val="1"/>
  </w:num>
  <w:num w:numId="9">
    <w:abstractNumId w:val="6"/>
  </w:num>
  <w:num w:numId="10">
    <w:abstractNumId w:val="13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4">
      <o:colormru v:ext="edit" colors="#2c6ab6,#235591"/>
    </o:shapedefaults>
    <o:shapelayout v:ext="edit">
      <o:idmap v:ext="edit" data="2"/>
      <o:rules v:ext="edit">
        <o:r id="V:Rule3" type="connector" idref="#AutoShape 3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0F"/>
    <w:rsid w:val="000009E0"/>
    <w:rsid w:val="00004A10"/>
    <w:rsid w:val="00005C8B"/>
    <w:rsid w:val="00007CC1"/>
    <w:rsid w:val="0001015E"/>
    <w:rsid w:val="00023AC4"/>
    <w:rsid w:val="000455F1"/>
    <w:rsid w:val="00047F83"/>
    <w:rsid w:val="000642DE"/>
    <w:rsid w:val="000724E3"/>
    <w:rsid w:val="0007296C"/>
    <w:rsid w:val="000812E9"/>
    <w:rsid w:val="000828A0"/>
    <w:rsid w:val="00086C02"/>
    <w:rsid w:val="000B07BB"/>
    <w:rsid w:val="000C3483"/>
    <w:rsid w:val="000C433A"/>
    <w:rsid w:val="000D042A"/>
    <w:rsid w:val="000D0EBF"/>
    <w:rsid w:val="000D6BAC"/>
    <w:rsid w:val="000E1122"/>
    <w:rsid w:val="000E328A"/>
    <w:rsid w:val="00104DE9"/>
    <w:rsid w:val="00131F6D"/>
    <w:rsid w:val="0013405A"/>
    <w:rsid w:val="00137E1A"/>
    <w:rsid w:val="0014030E"/>
    <w:rsid w:val="0014234B"/>
    <w:rsid w:val="00143AAF"/>
    <w:rsid w:val="00144263"/>
    <w:rsid w:val="00144E01"/>
    <w:rsid w:val="0015326D"/>
    <w:rsid w:val="0015570D"/>
    <w:rsid w:val="00163580"/>
    <w:rsid w:val="00172711"/>
    <w:rsid w:val="0017557A"/>
    <w:rsid w:val="0017638A"/>
    <w:rsid w:val="001B44F6"/>
    <w:rsid w:val="001B45F9"/>
    <w:rsid w:val="001C6089"/>
    <w:rsid w:val="001D2E09"/>
    <w:rsid w:val="001D77B5"/>
    <w:rsid w:val="001F0501"/>
    <w:rsid w:val="001F1C7E"/>
    <w:rsid w:val="001F79BB"/>
    <w:rsid w:val="00201862"/>
    <w:rsid w:val="00203DB9"/>
    <w:rsid w:val="002148EF"/>
    <w:rsid w:val="0022377F"/>
    <w:rsid w:val="0022627B"/>
    <w:rsid w:val="00247190"/>
    <w:rsid w:val="00256101"/>
    <w:rsid w:val="00256BA6"/>
    <w:rsid w:val="0026295B"/>
    <w:rsid w:val="00277CFB"/>
    <w:rsid w:val="002842D5"/>
    <w:rsid w:val="00292E93"/>
    <w:rsid w:val="002C708B"/>
    <w:rsid w:val="002C7BB3"/>
    <w:rsid w:val="002D1637"/>
    <w:rsid w:val="002D6890"/>
    <w:rsid w:val="002D781B"/>
    <w:rsid w:val="002F73F5"/>
    <w:rsid w:val="00302104"/>
    <w:rsid w:val="00305A79"/>
    <w:rsid w:val="00310112"/>
    <w:rsid w:val="003121B6"/>
    <w:rsid w:val="0032790C"/>
    <w:rsid w:val="0033510B"/>
    <w:rsid w:val="00347EE9"/>
    <w:rsid w:val="0035243F"/>
    <w:rsid w:val="00354A19"/>
    <w:rsid w:val="00355D0B"/>
    <w:rsid w:val="00356BC3"/>
    <w:rsid w:val="00357018"/>
    <w:rsid w:val="00365E83"/>
    <w:rsid w:val="00381660"/>
    <w:rsid w:val="003829D9"/>
    <w:rsid w:val="003830CF"/>
    <w:rsid w:val="003B0430"/>
    <w:rsid w:val="003B2C37"/>
    <w:rsid w:val="003B4DFF"/>
    <w:rsid w:val="003B7D6E"/>
    <w:rsid w:val="0040221E"/>
    <w:rsid w:val="0040392D"/>
    <w:rsid w:val="0040508E"/>
    <w:rsid w:val="004251CF"/>
    <w:rsid w:val="0043659A"/>
    <w:rsid w:val="00437B94"/>
    <w:rsid w:val="00453944"/>
    <w:rsid w:val="00461DA2"/>
    <w:rsid w:val="004769CF"/>
    <w:rsid w:val="00480CD1"/>
    <w:rsid w:val="004852F4"/>
    <w:rsid w:val="004958C1"/>
    <w:rsid w:val="00496276"/>
    <w:rsid w:val="004962FE"/>
    <w:rsid w:val="00496E22"/>
    <w:rsid w:val="004C37D0"/>
    <w:rsid w:val="004D0FD7"/>
    <w:rsid w:val="004F6812"/>
    <w:rsid w:val="004F70AD"/>
    <w:rsid w:val="005046AC"/>
    <w:rsid w:val="0051106E"/>
    <w:rsid w:val="0051343B"/>
    <w:rsid w:val="005139C6"/>
    <w:rsid w:val="005208E1"/>
    <w:rsid w:val="00521FA0"/>
    <w:rsid w:val="00550CDF"/>
    <w:rsid w:val="0056249D"/>
    <w:rsid w:val="00562C79"/>
    <w:rsid w:val="005854F6"/>
    <w:rsid w:val="00585540"/>
    <w:rsid w:val="005904D1"/>
    <w:rsid w:val="005A199B"/>
    <w:rsid w:val="005A4D50"/>
    <w:rsid w:val="005A656B"/>
    <w:rsid w:val="005B1D67"/>
    <w:rsid w:val="005B2C4E"/>
    <w:rsid w:val="005B58E8"/>
    <w:rsid w:val="005D0DB6"/>
    <w:rsid w:val="005D7E5A"/>
    <w:rsid w:val="005E10B1"/>
    <w:rsid w:val="005F227F"/>
    <w:rsid w:val="005F5F78"/>
    <w:rsid w:val="00610527"/>
    <w:rsid w:val="00613A2F"/>
    <w:rsid w:val="00625EA5"/>
    <w:rsid w:val="00635ADF"/>
    <w:rsid w:val="0064180D"/>
    <w:rsid w:val="00644859"/>
    <w:rsid w:val="00653B33"/>
    <w:rsid w:val="00666127"/>
    <w:rsid w:val="006677CF"/>
    <w:rsid w:val="00667F0C"/>
    <w:rsid w:val="00672C04"/>
    <w:rsid w:val="00673B1C"/>
    <w:rsid w:val="00695468"/>
    <w:rsid w:val="006A1A01"/>
    <w:rsid w:val="006A26B6"/>
    <w:rsid w:val="006A3DE2"/>
    <w:rsid w:val="006A488E"/>
    <w:rsid w:val="006A6C1B"/>
    <w:rsid w:val="006A73E9"/>
    <w:rsid w:val="006A7940"/>
    <w:rsid w:val="006B24A7"/>
    <w:rsid w:val="006B4F60"/>
    <w:rsid w:val="006B5BE3"/>
    <w:rsid w:val="006B758A"/>
    <w:rsid w:val="006D2C88"/>
    <w:rsid w:val="006D4DBF"/>
    <w:rsid w:val="006E4491"/>
    <w:rsid w:val="006E5B21"/>
    <w:rsid w:val="006F1586"/>
    <w:rsid w:val="006F1903"/>
    <w:rsid w:val="006F54BE"/>
    <w:rsid w:val="007062E4"/>
    <w:rsid w:val="00706DC8"/>
    <w:rsid w:val="0071429A"/>
    <w:rsid w:val="00714DB6"/>
    <w:rsid w:val="007151C5"/>
    <w:rsid w:val="007176B9"/>
    <w:rsid w:val="00730FAF"/>
    <w:rsid w:val="0073104D"/>
    <w:rsid w:val="00732C16"/>
    <w:rsid w:val="00734142"/>
    <w:rsid w:val="0073623F"/>
    <w:rsid w:val="00754F33"/>
    <w:rsid w:val="0076350A"/>
    <w:rsid w:val="00766290"/>
    <w:rsid w:val="007737A9"/>
    <w:rsid w:val="00775350"/>
    <w:rsid w:val="007A7FBA"/>
    <w:rsid w:val="007B482F"/>
    <w:rsid w:val="007C036B"/>
    <w:rsid w:val="007C29DB"/>
    <w:rsid w:val="007D5EA3"/>
    <w:rsid w:val="007E4905"/>
    <w:rsid w:val="007F440D"/>
    <w:rsid w:val="007F7B40"/>
    <w:rsid w:val="008042F6"/>
    <w:rsid w:val="0080674E"/>
    <w:rsid w:val="00831A8D"/>
    <w:rsid w:val="0083735A"/>
    <w:rsid w:val="00850CEB"/>
    <w:rsid w:val="00852AE4"/>
    <w:rsid w:val="0085758D"/>
    <w:rsid w:val="00861F1B"/>
    <w:rsid w:val="00862477"/>
    <w:rsid w:val="0086291E"/>
    <w:rsid w:val="00864527"/>
    <w:rsid w:val="008713A7"/>
    <w:rsid w:val="00871FC6"/>
    <w:rsid w:val="00885546"/>
    <w:rsid w:val="00892410"/>
    <w:rsid w:val="00897859"/>
    <w:rsid w:val="008B2105"/>
    <w:rsid w:val="008B2CAB"/>
    <w:rsid w:val="008B64CE"/>
    <w:rsid w:val="008C07ED"/>
    <w:rsid w:val="008C0BFF"/>
    <w:rsid w:val="008D1176"/>
    <w:rsid w:val="008D12F4"/>
    <w:rsid w:val="008D1CF6"/>
    <w:rsid w:val="008E33EF"/>
    <w:rsid w:val="008E35B8"/>
    <w:rsid w:val="008E4348"/>
    <w:rsid w:val="008E4840"/>
    <w:rsid w:val="008E6788"/>
    <w:rsid w:val="008F0DAD"/>
    <w:rsid w:val="008F5C9D"/>
    <w:rsid w:val="00901F6C"/>
    <w:rsid w:val="00907D37"/>
    <w:rsid w:val="0092008D"/>
    <w:rsid w:val="0092578B"/>
    <w:rsid w:val="0093299D"/>
    <w:rsid w:val="00933A85"/>
    <w:rsid w:val="00935203"/>
    <w:rsid w:val="009417E0"/>
    <w:rsid w:val="00941F32"/>
    <w:rsid w:val="0094641E"/>
    <w:rsid w:val="00950CA6"/>
    <w:rsid w:val="009551E7"/>
    <w:rsid w:val="00955D18"/>
    <w:rsid w:val="00957652"/>
    <w:rsid w:val="00966E1B"/>
    <w:rsid w:val="00967FC8"/>
    <w:rsid w:val="00983F76"/>
    <w:rsid w:val="00986ED7"/>
    <w:rsid w:val="00994661"/>
    <w:rsid w:val="009A2074"/>
    <w:rsid w:val="009B5EE5"/>
    <w:rsid w:val="009B6048"/>
    <w:rsid w:val="009B700E"/>
    <w:rsid w:val="009C47A1"/>
    <w:rsid w:val="009E10FD"/>
    <w:rsid w:val="009E36AB"/>
    <w:rsid w:val="009F4628"/>
    <w:rsid w:val="00A04B08"/>
    <w:rsid w:val="00A05549"/>
    <w:rsid w:val="00A11FB9"/>
    <w:rsid w:val="00A13FF7"/>
    <w:rsid w:val="00A16AA9"/>
    <w:rsid w:val="00A56378"/>
    <w:rsid w:val="00A57A2F"/>
    <w:rsid w:val="00A622D7"/>
    <w:rsid w:val="00A63312"/>
    <w:rsid w:val="00A64245"/>
    <w:rsid w:val="00A66604"/>
    <w:rsid w:val="00A67313"/>
    <w:rsid w:val="00A70D7B"/>
    <w:rsid w:val="00A76869"/>
    <w:rsid w:val="00A82561"/>
    <w:rsid w:val="00A85708"/>
    <w:rsid w:val="00A90B5A"/>
    <w:rsid w:val="00A93CCA"/>
    <w:rsid w:val="00A94B2D"/>
    <w:rsid w:val="00AA46E2"/>
    <w:rsid w:val="00AA49F3"/>
    <w:rsid w:val="00AB1887"/>
    <w:rsid w:val="00AB377D"/>
    <w:rsid w:val="00AC1E70"/>
    <w:rsid w:val="00AC2024"/>
    <w:rsid w:val="00AC4858"/>
    <w:rsid w:val="00AC6E3D"/>
    <w:rsid w:val="00AD1B3D"/>
    <w:rsid w:val="00AE5AB3"/>
    <w:rsid w:val="00AF5662"/>
    <w:rsid w:val="00B177CB"/>
    <w:rsid w:val="00B264B0"/>
    <w:rsid w:val="00B320CD"/>
    <w:rsid w:val="00B37E89"/>
    <w:rsid w:val="00B4428D"/>
    <w:rsid w:val="00B57336"/>
    <w:rsid w:val="00B60552"/>
    <w:rsid w:val="00B6168E"/>
    <w:rsid w:val="00B7411A"/>
    <w:rsid w:val="00BA3C08"/>
    <w:rsid w:val="00BB2584"/>
    <w:rsid w:val="00BB6FAF"/>
    <w:rsid w:val="00BC2C37"/>
    <w:rsid w:val="00BD768A"/>
    <w:rsid w:val="00BE2233"/>
    <w:rsid w:val="00BF380A"/>
    <w:rsid w:val="00C10BF3"/>
    <w:rsid w:val="00C17EF3"/>
    <w:rsid w:val="00C21D9A"/>
    <w:rsid w:val="00C3542E"/>
    <w:rsid w:val="00C41B63"/>
    <w:rsid w:val="00C41E99"/>
    <w:rsid w:val="00C47D96"/>
    <w:rsid w:val="00C52DDB"/>
    <w:rsid w:val="00C53052"/>
    <w:rsid w:val="00C544DB"/>
    <w:rsid w:val="00C57734"/>
    <w:rsid w:val="00C82B81"/>
    <w:rsid w:val="00C858F0"/>
    <w:rsid w:val="00C97067"/>
    <w:rsid w:val="00CC523A"/>
    <w:rsid w:val="00CD1230"/>
    <w:rsid w:val="00CD2959"/>
    <w:rsid w:val="00CD3786"/>
    <w:rsid w:val="00CD4585"/>
    <w:rsid w:val="00CF6F4E"/>
    <w:rsid w:val="00D144AD"/>
    <w:rsid w:val="00D26341"/>
    <w:rsid w:val="00D32FDF"/>
    <w:rsid w:val="00D3535F"/>
    <w:rsid w:val="00D52F9B"/>
    <w:rsid w:val="00D60131"/>
    <w:rsid w:val="00D63A0F"/>
    <w:rsid w:val="00D63E7A"/>
    <w:rsid w:val="00D66C88"/>
    <w:rsid w:val="00D67C1A"/>
    <w:rsid w:val="00DA0DF7"/>
    <w:rsid w:val="00DA1D10"/>
    <w:rsid w:val="00DA699B"/>
    <w:rsid w:val="00DC032E"/>
    <w:rsid w:val="00DC75DC"/>
    <w:rsid w:val="00DD016A"/>
    <w:rsid w:val="00DE076C"/>
    <w:rsid w:val="00DE374D"/>
    <w:rsid w:val="00DF0497"/>
    <w:rsid w:val="00E00BC0"/>
    <w:rsid w:val="00E07FCF"/>
    <w:rsid w:val="00E130AA"/>
    <w:rsid w:val="00E172AA"/>
    <w:rsid w:val="00E2356C"/>
    <w:rsid w:val="00E33F4B"/>
    <w:rsid w:val="00E60066"/>
    <w:rsid w:val="00E62C29"/>
    <w:rsid w:val="00E63227"/>
    <w:rsid w:val="00E67C3B"/>
    <w:rsid w:val="00E7272B"/>
    <w:rsid w:val="00E76B26"/>
    <w:rsid w:val="00E7787D"/>
    <w:rsid w:val="00E8368D"/>
    <w:rsid w:val="00E87206"/>
    <w:rsid w:val="00E87261"/>
    <w:rsid w:val="00E953F8"/>
    <w:rsid w:val="00EA0183"/>
    <w:rsid w:val="00EA48E7"/>
    <w:rsid w:val="00EA7D73"/>
    <w:rsid w:val="00EB016D"/>
    <w:rsid w:val="00EB20E4"/>
    <w:rsid w:val="00EB56D9"/>
    <w:rsid w:val="00EB6754"/>
    <w:rsid w:val="00EB7DD6"/>
    <w:rsid w:val="00EC2E2A"/>
    <w:rsid w:val="00EE07B4"/>
    <w:rsid w:val="00EE3A31"/>
    <w:rsid w:val="00EE7398"/>
    <w:rsid w:val="00EF24AA"/>
    <w:rsid w:val="00EF49BE"/>
    <w:rsid w:val="00F03CC9"/>
    <w:rsid w:val="00F134C3"/>
    <w:rsid w:val="00F2386E"/>
    <w:rsid w:val="00F33E88"/>
    <w:rsid w:val="00F4548F"/>
    <w:rsid w:val="00F47A16"/>
    <w:rsid w:val="00F57C60"/>
    <w:rsid w:val="00F62ECC"/>
    <w:rsid w:val="00F643D1"/>
    <w:rsid w:val="00F81323"/>
    <w:rsid w:val="00F8152C"/>
    <w:rsid w:val="00F842C4"/>
    <w:rsid w:val="00FA3B2B"/>
    <w:rsid w:val="00FA464B"/>
    <w:rsid w:val="00FB4538"/>
    <w:rsid w:val="00FB513A"/>
    <w:rsid w:val="00FC733A"/>
    <w:rsid w:val="00FD4C82"/>
    <w:rsid w:val="00FD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2c6ab6,#2355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A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86E"/>
    <w:pPr>
      <w:keepNext/>
      <w:keepLines/>
      <w:spacing w:before="120"/>
      <w:outlineLvl w:val="0"/>
    </w:pPr>
    <w:rPr>
      <w:rFonts w:ascii="Calibri" w:hAnsi="Calibri"/>
      <w:b/>
      <w:bCs/>
      <w:sz w:val="22"/>
      <w:szCs w:val="28"/>
    </w:rPr>
  </w:style>
  <w:style w:type="paragraph" w:styleId="Nagwek2">
    <w:name w:val="heading 2"/>
    <w:aliases w:val="Outline2,HAA-Section,Sub Heading,ignorer2,Nadpis_2,adpis 2"/>
    <w:basedOn w:val="nag2Znak"/>
    <w:next w:val="Normalny"/>
    <w:link w:val="Nagwek2Znak1"/>
    <w:qFormat/>
    <w:rsid w:val="00BF380A"/>
    <w:pPr>
      <w:spacing w:line="240" w:lineRule="auto"/>
      <w:outlineLvl w:val="1"/>
    </w:pPr>
    <w:rPr>
      <w:rFonts w:ascii="Calibri" w:hAnsi="Calibri"/>
      <w:b/>
      <w:bCs w:val="0"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86E"/>
    <w:pPr>
      <w:keepNext/>
      <w:keepLines/>
      <w:spacing w:before="120" w:after="120"/>
      <w:outlineLvl w:val="2"/>
    </w:pPr>
    <w:rPr>
      <w:rFonts w:ascii="Calibri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D63A0F"/>
  </w:style>
  <w:style w:type="paragraph" w:customStyle="1" w:styleId="nag2Znak">
    <w:name w:val="nagł. 2 Znak"/>
    <w:basedOn w:val="Nagwek3"/>
    <w:link w:val="nag2ZnakZnak"/>
    <w:autoRedefine/>
    <w:rsid w:val="00D63A0F"/>
    <w:pPr>
      <w:keepLines w:val="0"/>
      <w:spacing w:line="360" w:lineRule="auto"/>
      <w:jc w:val="both"/>
    </w:pPr>
    <w:rPr>
      <w:rFonts w:ascii="Garamond" w:hAnsi="Garamond"/>
      <w:b w:val="0"/>
      <w:sz w:val="24"/>
    </w:rPr>
  </w:style>
  <w:style w:type="character" w:customStyle="1" w:styleId="nag2ZnakZnak">
    <w:name w:val="nagł. 2 Znak Znak"/>
    <w:link w:val="nag2Znak"/>
    <w:rsid w:val="00D63A0F"/>
    <w:rPr>
      <w:rFonts w:ascii="Garamond" w:eastAsia="Times New Roman" w:hAnsi="Garamond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3A0F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rsid w:val="00D63A0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D63A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63A0F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63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F2386E"/>
    <w:rPr>
      <w:rFonts w:ascii="Calibri" w:eastAsia="Times New Roman" w:hAnsi="Calibri"/>
      <w:b/>
      <w:bCs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3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uiPriority w:val="9"/>
    <w:semiHidden/>
    <w:rsid w:val="00D63A0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ZnakZnak">
    <w:name w:val="Znak Znak"/>
    <w:basedOn w:val="Normalny"/>
    <w:uiPriority w:val="99"/>
    <w:rsid w:val="00D63A0F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1">
    <w:name w:val="Nagłówek 2 Znak1"/>
    <w:aliases w:val="Outline2 Znak,HAA-Section Znak,Sub Heading Znak,ignorer2 Znak,Nadpis_2 Znak,adpis 2 Znak"/>
    <w:link w:val="Nagwek2"/>
    <w:rsid w:val="00BF380A"/>
    <w:rPr>
      <w:rFonts w:eastAsia="Times New Roman"/>
      <w:b/>
      <w:iCs/>
      <w:sz w:val="22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007CC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F2386E"/>
    <w:rPr>
      <w:rFonts w:ascii="Calibri" w:eastAsia="Times New Roman" w:hAnsi="Calibri"/>
      <w:b/>
      <w:bCs/>
      <w:sz w:val="22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96C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2356C"/>
    <w:pPr>
      <w:tabs>
        <w:tab w:val="right" w:leader="dot" w:pos="9628"/>
      </w:tabs>
      <w:spacing w:after="100"/>
    </w:pPr>
    <w:rPr>
      <w:rFonts w:ascii="Calibri" w:eastAsia="Calibri" w:hAnsi="Calibri"/>
      <w:b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07296C"/>
    <w:pPr>
      <w:spacing w:after="100"/>
      <w:ind w:left="480"/>
    </w:pPr>
  </w:style>
  <w:style w:type="character" w:styleId="Hipercze">
    <w:name w:val="Hyperlink"/>
    <w:uiPriority w:val="99"/>
    <w:unhideWhenUsed/>
    <w:rsid w:val="000729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0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5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05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40392D"/>
    <w:rPr>
      <w:rFonts w:eastAsia="Times New Roman" w:cs="Times New Roman"/>
      <w:bCs w:val="0"/>
      <w:iCs w:val="0"/>
      <w:szCs w:val="22"/>
      <w:lang w:val="pl-PL"/>
    </w:rPr>
  </w:style>
  <w:style w:type="paragraph" w:customStyle="1" w:styleId="ZnakZnak0">
    <w:name w:val="Znak Znak"/>
    <w:basedOn w:val="Normalny"/>
    <w:uiPriority w:val="99"/>
    <w:rsid w:val="00CD378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8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180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4180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55D0B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A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5A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854F6"/>
    <w:rPr>
      <w:sz w:val="22"/>
      <w:szCs w:val="22"/>
      <w:lang w:eastAsia="en-US"/>
    </w:rPr>
  </w:style>
  <w:style w:type="paragraph" w:customStyle="1" w:styleId="Tekst">
    <w:name w:val="• Tekst"/>
    <w:qFormat/>
    <w:rsid w:val="005854F6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5854F6"/>
    <w:pPr>
      <w:ind w:left="5670" w:firstLine="0"/>
    </w:pPr>
  </w:style>
  <w:style w:type="paragraph" w:customStyle="1" w:styleId="Miejscowoidata">
    <w:name w:val="• Miejscowość i data"/>
    <w:basedOn w:val="Tekst"/>
    <w:qFormat/>
    <w:rsid w:val="005854F6"/>
    <w:pPr>
      <w:jc w:val="right"/>
    </w:pPr>
  </w:style>
  <w:style w:type="table" w:styleId="Tabela-Siatka">
    <w:name w:val="Table Grid"/>
    <w:basedOn w:val="Standardowy"/>
    <w:uiPriority w:val="59"/>
    <w:rsid w:val="00EA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F2386E"/>
    <w:pPr>
      <w:ind w:left="24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81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81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6954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2913</Words>
  <Characters>17480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Wykonawcza Instytucji Zarządzającej Regionalnego Programu Operacyjnego Województwa Warmińsko-Mazurskiego na lata 2014-2020</vt:lpstr>
    </vt:vector>
  </TitlesOfParts>
  <Company>Hewlett-Packard Company</Company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Wykonawcza Instytucji Zarządzającej Regionalnego Programu Operacyjnego Województwa Warmińsko-Mazurskiego na lata 2014-2020</dc:title>
  <dc:creator>Departament Polityki Regionalnej</dc:creator>
  <cp:lastModifiedBy>Piotr Bogacki</cp:lastModifiedBy>
  <cp:revision>5</cp:revision>
  <cp:lastPrinted>2015-08-27T09:51:00Z</cp:lastPrinted>
  <dcterms:created xsi:type="dcterms:W3CDTF">2016-01-15T11:41:00Z</dcterms:created>
  <dcterms:modified xsi:type="dcterms:W3CDTF">2016-01-27T08:54:00Z</dcterms:modified>
</cp:coreProperties>
</file>