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05" w:rsidRDefault="00D86905" w:rsidP="00EE2492">
      <w:pPr>
        <w:rPr>
          <w:rFonts w:asciiTheme="minorHAnsi" w:hAnsiTheme="minorHAnsi"/>
          <w:b/>
          <w:bCs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257925" cy="771525"/>
            <wp:effectExtent l="0" t="0" r="9525" b="9525"/>
            <wp:docPr id="1" name="Obraz 1" descr="cid:image004.jpg@01D30C48.E9555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30C48.E9555A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492" w:rsidRPr="00AD365E" w:rsidRDefault="00DC5E11" w:rsidP="00EE2492">
      <w:pPr>
        <w:rPr>
          <w:rFonts w:asciiTheme="minorHAnsi" w:hAnsiTheme="minorHAnsi"/>
          <w:b/>
          <w:bCs/>
          <w:u w:val="single"/>
        </w:rPr>
      </w:pPr>
      <w:bookmarkStart w:id="0" w:name="_GoBack"/>
      <w:bookmarkEnd w:id="0"/>
      <w:r w:rsidRPr="00AD365E">
        <w:rPr>
          <w:rFonts w:asciiTheme="minorHAnsi" w:hAnsiTheme="minorHAnsi"/>
          <w:b/>
          <w:bCs/>
          <w:u w:val="single"/>
        </w:rPr>
        <w:t>Kwalifikowalność wydatków realizowanych w ramach projektów unijnych</w:t>
      </w:r>
      <w:r w:rsidRPr="00AD365E">
        <w:rPr>
          <w:rFonts w:asciiTheme="minorHAnsi" w:hAnsiTheme="minorHAnsi"/>
          <w:b/>
          <w:u w:val="single"/>
        </w:rPr>
        <w:t xml:space="preserve"> </w:t>
      </w:r>
    </w:p>
    <w:p w:rsidR="00DC5E11" w:rsidRDefault="00DC5E11" w:rsidP="00EE2492">
      <w:pPr>
        <w:rPr>
          <w:rStyle w:val="FontStyle52"/>
          <w:rFonts w:asciiTheme="minorHAnsi" w:hAnsiTheme="minorHAnsi"/>
          <w:color w:val="31849B" w:themeColor="accent5" w:themeShade="BF"/>
          <w:sz w:val="22"/>
        </w:rPr>
      </w:pPr>
    </w:p>
    <w:p w:rsidR="00AD365E" w:rsidRDefault="00AD365E" w:rsidP="00EE2492">
      <w:pPr>
        <w:rPr>
          <w:rStyle w:val="FontStyle52"/>
          <w:rFonts w:asciiTheme="minorHAnsi" w:hAnsiTheme="minorHAnsi"/>
          <w:color w:val="31849B" w:themeColor="accent5" w:themeShade="BF"/>
          <w:sz w:val="22"/>
        </w:rPr>
      </w:pPr>
      <w:r>
        <w:rPr>
          <w:rStyle w:val="FontStyle52"/>
          <w:rFonts w:asciiTheme="minorHAnsi" w:hAnsiTheme="minorHAnsi"/>
          <w:color w:val="31849B" w:themeColor="accent5" w:themeShade="BF"/>
          <w:sz w:val="22"/>
        </w:rPr>
        <w:t>8.45 – 9.00 Prezentacja Punktów Informacyjnych Funduszy Europejskich</w:t>
      </w:r>
    </w:p>
    <w:p w:rsidR="00EE2492" w:rsidRPr="00BE1509" w:rsidRDefault="00DC5E11" w:rsidP="00EE2492">
      <w:pPr>
        <w:rPr>
          <w:b/>
          <w:bCs/>
          <w:color w:val="31849B" w:themeColor="accent5" w:themeShade="BF"/>
        </w:rPr>
      </w:pPr>
      <w:r>
        <w:rPr>
          <w:rStyle w:val="FontStyle52"/>
          <w:rFonts w:asciiTheme="minorHAnsi" w:hAnsiTheme="minorHAnsi"/>
          <w:color w:val="31849B" w:themeColor="accent5" w:themeShade="BF"/>
          <w:sz w:val="22"/>
        </w:rPr>
        <w:t>9</w:t>
      </w:r>
      <w:r w:rsidR="00EE2492" w:rsidRPr="00BE1509">
        <w:rPr>
          <w:rStyle w:val="FontStyle52"/>
          <w:rFonts w:asciiTheme="minorHAnsi" w:hAnsiTheme="minorHAnsi"/>
          <w:color w:val="31849B" w:themeColor="accent5" w:themeShade="BF"/>
          <w:sz w:val="22"/>
        </w:rPr>
        <w:t>.</w:t>
      </w:r>
      <w:r>
        <w:rPr>
          <w:rStyle w:val="FontStyle52"/>
          <w:rFonts w:asciiTheme="minorHAnsi" w:hAnsiTheme="minorHAnsi"/>
          <w:color w:val="31849B" w:themeColor="accent5" w:themeShade="BF"/>
          <w:sz w:val="22"/>
        </w:rPr>
        <w:t>0</w:t>
      </w:r>
      <w:r w:rsidR="00EE2492" w:rsidRPr="00BE1509">
        <w:rPr>
          <w:rStyle w:val="FontStyle52"/>
          <w:rFonts w:asciiTheme="minorHAnsi" w:hAnsiTheme="minorHAnsi"/>
          <w:color w:val="31849B" w:themeColor="accent5" w:themeShade="BF"/>
          <w:sz w:val="22"/>
        </w:rPr>
        <w:t>0 – 10.</w:t>
      </w:r>
      <w:r>
        <w:rPr>
          <w:rStyle w:val="FontStyle52"/>
          <w:rFonts w:asciiTheme="minorHAnsi" w:hAnsiTheme="minorHAnsi"/>
          <w:color w:val="31849B" w:themeColor="accent5" w:themeShade="BF"/>
          <w:sz w:val="22"/>
        </w:rPr>
        <w:t>3</w:t>
      </w:r>
      <w:r w:rsidR="00EE2492" w:rsidRPr="00BE1509">
        <w:rPr>
          <w:rStyle w:val="FontStyle52"/>
          <w:rFonts w:asciiTheme="minorHAnsi" w:hAnsiTheme="minorHAnsi"/>
          <w:color w:val="31849B" w:themeColor="accent5" w:themeShade="BF"/>
          <w:sz w:val="22"/>
        </w:rPr>
        <w:t>0  - moduł I</w:t>
      </w:r>
    </w:p>
    <w:p w:rsidR="00EE2492" w:rsidRPr="00AD365E" w:rsidRDefault="0038410F" w:rsidP="00AD365E">
      <w:pPr>
        <w:spacing w:before="100" w:beforeAutospacing="1" w:after="100" w:afterAutospacing="1"/>
        <w:ind w:left="-397"/>
        <w:rPr>
          <w:rStyle w:val="FontStyle52"/>
          <w:rFonts w:asciiTheme="minorHAnsi" w:hAnsiTheme="minorHAnsi"/>
          <w:b/>
          <w:sz w:val="22"/>
          <w:szCs w:val="22"/>
        </w:rPr>
      </w:pPr>
      <w:r>
        <w:rPr>
          <w:rStyle w:val="FontStyle52"/>
          <w:rFonts w:asciiTheme="minorHAnsi" w:hAnsiTheme="minorHAnsi"/>
          <w:b/>
          <w:sz w:val="22"/>
          <w:szCs w:val="22"/>
        </w:rPr>
        <w:t xml:space="preserve">Wytyczne w zakresie </w:t>
      </w:r>
      <w:r w:rsidR="006513B8" w:rsidRPr="006513B8">
        <w:rPr>
          <w:rFonts w:asciiTheme="minorHAnsi" w:hAnsiTheme="minorHAnsi"/>
          <w:b/>
          <w:sz w:val="22"/>
          <w:szCs w:val="22"/>
        </w:rPr>
        <w:t xml:space="preserve">kwalifikowalności wydatków w ramach środków Europejskiego Funduszu Rozwoju Regionalnego, Europejskiego Funduszu Społecznego oraz Funduszu Spójności na lata 2014-2020 </w:t>
      </w:r>
    </w:p>
    <w:p w:rsidR="00EE2492" w:rsidRPr="00042F19" w:rsidRDefault="0038410F" w:rsidP="00EE249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Zasięg geograficzny i ramy czasowe kwalifikowalności</w:t>
      </w:r>
    </w:p>
    <w:p w:rsidR="00EE2492" w:rsidRPr="009C6B84" w:rsidRDefault="00EE2492" w:rsidP="00EE2492">
      <w:pPr>
        <w:pStyle w:val="Akapitzlist"/>
        <w:numPr>
          <w:ilvl w:val="0"/>
          <w:numId w:val="1"/>
        </w:numPr>
        <w:spacing w:after="0" w:line="360" w:lineRule="auto"/>
        <w:rPr>
          <w:lang w:eastAsia="pl-PL"/>
        </w:rPr>
      </w:pPr>
      <w:r w:rsidRPr="009C6B84">
        <w:rPr>
          <w:lang w:eastAsia="pl-PL"/>
        </w:rPr>
        <w:t xml:space="preserve">Kryteria wyboru projektów </w:t>
      </w:r>
      <w:r w:rsidR="0038410F">
        <w:rPr>
          <w:lang w:eastAsia="pl-PL"/>
        </w:rPr>
        <w:t xml:space="preserve">a kwalifikowalność </w:t>
      </w:r>
    </w:p>
    <w:p w:rsidR="00EE2492" w:rsidRPr="0038410F" w:rsidRDefault="00EE2492" w:rsidP="00EE249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69408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8410F">
        <w:rPr>
          <w:rFonts w:asciiTheme="minorHAnsi" w:hAnsiTheme="minorHAnsi"/>
          <w:color w:val="000000"/>
          <w:sz w:val="22"/>
          <w:szCs w:val="22"/>
        </w:rPr>
        <w:t xml:space="preserve">Kwalifikowalność wydatków  </w:t>
      </w:r>
    </w:p>
    <w:p w:rsidR="0038410F" w:rsidRPr="0038410F" w:rsidRDefault="0038410F" w:rsidP="00EE249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Zamówienia udzielana w ramach projektów</w:t>
      </w:r>
    </w:p>
    <w:p w:rsidR="0038410F" w:rsidRPr="00694084" w:rsidRDefault="0038410F" w:rsidP="00EE249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Kwalifikowalność a uproszczone metody rozliczania wydatków</w:t>
      </w:r>
    </w:p>
    <w:p w:rsidR="00EE2492" w:rsidRPr="0038410F" w:rsidRDefault="0038410F" w:rsidP="00EE2492">
      <w:pPr>
        <w:pStyle w:val="Akapitzlist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bCs/>
          <w:color w:val="000000"/>
        </w:rPr>
        <w:t xml:space="preserve">Kwalifikowalność a trwałość projektu </w:t>
      </w:r>
    </w:p>
    <w:p w:rsidR="0038410F" w:rsidRPr="00694084" w:rsidRDefault="0038410F" w:rsidP="00EE2492">
      <w:pPr>
        <w:pStyle w:val="Akapitzlist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bCs/>
          <w:color w:val="000000"/>
        </w:rPr>
        <w:t>Podwójne finansowanie</w:t>
      </w:r>
    </w:p>
    <w:p w:rsidR="00EE2492" w:rsidRDefault="00EE2492" w:rsidP="00EE2492">
      <w:pPr>
        <w:rPr>
          <w:rStyle w:val="FontStyle52"/>
          <w:rFonts w:asciiTheme="minorHAnsi" w:hAnsiTheme="minorHAnsi"/>
          <w:color w:val="31849B" w:themeColor="accent5" w:themeShade="BF"/>
          <w:sz w:val="22"/>
        </w:rPr>
      </w:pPr>
    </w:p>
    <w:p w:rsidR="00EE2492" w:rsidRPr="00CA5B78" w:rsidRDefault="00EE2492" w:rsidP="00EE2492">
      <w:pPr>
        <w:rPr>
          <w:b/>
          <w:bCs/>
          <w:color w:val="31849B" w:themeColor="accent5" w:themeShade="BF"/>
        </w:rPr>
      </w:pPr>
      <w:r w:rsidRPr="00CA5B78">
        <w:rPr>
          <w:rStyle w:val="FontStyle52"/>
          <w:rFonts w:asciiTheme="minorHAnsi" w:hAnsiTheme="minorHAnsi"/>
          <w:color w:val="31849B" w:themeColor="accent5" w:themeShade="BF"/>
          <w:sz w:val="22"/>
        </w:rPr>
        <w:t>10.</w:t>
      </w:r>
      <w:r w:rsidR="00DC5E11">
        <w:rPr>
          <w:rStyle w:val="FontStyle52"/>
          <w:rFonts w:asciiTheme="minorHAnsi" w:hAnsiTheme="minorHAnsi"/>
          <w:color w:val="31849B" w:themeColor="accent5" w:themeShade="BF"/>
          <w:sz w:val="22"/>
        </w:rPr>
        <w:t>3</w:t>
      </w:r>
      <w:r w:rsidRPr="00CA5B78">
        <w:rPr>
          <w:rStyle w:val="FontStyle52"/>
          <w:rFonts w:asciiTheme="minorHAnsi" w:hAnsiTheme="minorHAnsi"/>
          <w:color w:val="31849B" w:themeColor="accent5" w:themeShade="BF"/>
          <w:sz w:val="22"/>
        </w:rPr>
        <w:t>0  - 10.</w:t>
      </w:r>
      <w:r w:rsidR="00DC5E11">
        <w:rPr>
          <w:rStyle w:val="FontStyle52"/>
          <w:rFonts w:asciiTheme="minorHAnsi" w:hAnsiTheme="minorHAnsi"/>
          <w:color w:val="31849B" w:themeColor="accent5" w:themeShade="BF"/>
          <w:sz w:val="22"/>
        </w:rPr>
        <w:t>4</w:t>
      </w:r>
      <w:r w:rsidRPr="00CA5B78">
        <w:rPr>
          <w:rStyle w:val="FontStyle52"/>
          <w:rFonts w:asciiTheme="minorHAnsi" w:hAnsiTheme="minorHAnsi"/>
          <w:color w:val="31849B" w:themeColor="accent5" w:themeShade="BF"/>
          <w:sz w:val="22"/>
        </w:rPr>
        <w:t xml:space="preserve">5 przerwa  </w:t>
      </w:r>
    </w:p>
    <w:p w:rsidR="00EE2492" w:rsidRDefault="00DC5E11" w:rsidP="00EE2492">
      <w:pPr>
        <w:rPr>
          <w:rStyle w:val="FontStyle52"/>
          <w:rFonts w:asciiTheme="minorHAnsi" w:hAnsiTheme="minorHAnsi"/>
          <w:color w:val="31849B" w:themeColor="accent5" w:themeShade="BF"/>
          <w:sz w:val="22"/>
        </w:rPr>
      </w:pPr>
      <w:r>
        <w:rPr>
          <w:rStyle w:val="FontStyle52"/>
          <w:rFonts w:asciiTheme="minorHAnsi" w:hAnsiTheme="minorHAnsi"/>
          <w:color w:val="31849B" w:themeColor="accent5" w:themeShade="BF"/>
          <w:sz w:val="22"/>
        </w:rPr>
        <w:t>10.4</w:t>
      </w:r>
      <w:r w:rsidR="00EE2492" w:rsidRPr="00CA5B78">
        <w:rPr>
          <w:rStyle w:val="FontStyle52"/>
          <w:rFonts w:asciiTheme="minorHAnsi" w:hAnsiTheme="minorHAnsi"/>
          <w:color w:val="31849B" w:themeColor="accent5" w:themeShade="BF"/>
          <w:sz w:val="22"/>
        </w:rPr>
        <w:t>5  - 1</w:t>
      </w:r>
      <w:r>
        <w:rPr>
          <w:rStyle w:val="FontStyle52"/>
          <w:rFonts w:asciiTheme="minorHAnsi" w:hAnsiTheme="minorHAnsi"/>
          <w:color w:val="31849B" w:themeColor="accent5" w:themeShade="BF"/>
          <w:sz w:val="22"/>
        </w:rPr>
        <w:t>2</w:t>
      </w:r>
      <w:r w:rsidR="00EE2492" w:rsidRPr="00CA5B78">
        <w:rPr>
          <w:rStyle w:val="FontStyle52"/>
          <w:rFonts w:asciiTheme="minorHAnsi" w:hAnsiTheme="minorHAnsi"/>
          <w:color w:val="31849B" w:themeColor="accent5" w:themeShade="BF"/>
          <w:sz w:val="22"/>
        </w:rPr>
        <w:t>.</w:t>
      </w:r>
      <w:r>
        <w:rPr>
          <w:rStyle w:val="FontStyle52"/>
          <w:rFonts w:asciiTheme="minorHAnsi" w:hAnsiTheme="minorHAnsi"/>
          <w:color w:val="31849B" w:themeColor="accent5" w:themeShade="BF"/>
          <w:sz w:val="22"/>
        </w:rPr>
        <w:t>15</w:t>
      </w:r>
      <w:r w:rsidR="00EE2492" w:rsidRPr="00CA5B78">
        <w:rPr>
          <w:rStyle w:val="FontStyle52"/>
          <w:rFonts w:asciiTheme="minorHAnsi" w:hAnsiTheme="minorHAnsi"/>
          <w:color w:val="31849B" w:themeColor="accent5" w:themeShade="BF"/>
          <w:sz w:val="22"/>
        </w:rPr>
        <w:t xml:space="preserve">  moduł II</w:t>
      </w:r>
    </w:p>
    <w:p w:rsidR="00AD365E" w:rsidRDefault="00AD365E" w:rsidP="00AD365E">
      <w:pPr>
        <w:pStyle w:val="Nagwek3"/>
        <w:tabs>
          <w:tab w:val="left" w:pos="6"/>
        </w:tabs>
        <w:rPr>
          <w:rFonts w:ascii="Times New Roman" w:eastAsiaTheme="minorHAnsi" w:hAnsi="Times New Roman" w:cs="Times New Roman"/>
          <w:color w:val="31849B" w:themeColor="accent5" w:themeShade="BF"/>
        </w:rPr>
      </w:pPr>
    </w:p>
    <w:p w:rsidR="00EE2492" w:rsidRPr="0038410F" w:rsidRDefault="006513B8" w:rsidP="00AD365E">
      <w:pPr>
        <w:pStyle w:val="Nagwek3"/>
        <w:tabs>
          <w:tab w:val="left" w:pos="6"/>
        </w:tabs>
        <w:rPr>
          <w:rStyle w:val="FontStyle52"/>
          <w:rFonts w:asciiTheme="minorHAnsi" w:hAnsiTheme="minorHAnsi"/>
          <w:sz w:val="22"/>
          <w:szCs w:val="22"/>
        </w:rPr>
      </w:pPr>
      <w:r>
        <w:rPr>
          <w:rStyle w:val="FontStyle52"/>
          <w:rFonts w:asciiTheme="minorHAnsi" w:hAnsiTheme="minorHAnsi"/>
          <w:sz w:val="22"/>
        </w:rPr>
        <w:t xml:space="preserve">Kwalifikowalność </w:t>
      </w:r>
      <w:r w:rsidRPr="0038410F">
        <w:rPr>
          <w:rStyle w:val="FontStyle52"/>
          <w:rFonts w:asciiTheme="minorHAnsi" w:hAnsiTheme="minorHAnsi"/>
          <w:sz w:val="22"/>
          <w:szCs w:val="22"/>
        </w:rPr>
        <w:t xml:space="preserve">wydatków </w:t>
      </w:r>
      <w:r w:rsidR="0038410F" w:rsidRPr="0038410F">
        <w:rPr>
          <w:rStyle w:val="FontStyle52"/>
          <w:rFonts w:asciiTheme="minorHAnsi" w:hAnsiTheme="minorHAnsi"/>
          <w:sz w:val="22"/>
          <w:szCs w:val="22"/>
        </w:rPr>
        <w:t xml:space="preserve"> </w:t>
      </w:r>
      <w:r w:rsidR="0038410F">
        <w:rPr>
          <w:rStyle w:val="FontStyle52"/>
          <w:rFonts w:asciiTheme="minorHAnsi" w:hAnsiTheme="minorHAnsi"/>
          <w:sz w:val="22"/>
          <w:szCs w:val="22"/>
        </w:rPr>
        <w:t xml:space="preserve">ponoszonych w ramach </w:t>
      </w:r>
      <w:r w:rsidR="0038410F" w:rsidRPr="0038410F">
        <w:rPr>
          <w:rFonts w:asciiTheme="minorHAnsi" w:hAnsiTheme="minorHAnsi"/>
          <w:sz w:val="22"/>
          <w:szCs w:val="22"/>
        </w:rPr>
        <w:t>Regionalnego Programu Operacyjnego Województwa Warmińsko-Mazurskiego na lata 2014-2020</w:t>
      </w:r>
    </w:p>
    <w:p w:rsidR="00EE2492" w:rsidRPr="00042F19" w:rsidRDefault="00EE2492" w:rsidP="00EE2492"/>
    <w:p w:rsidR="00EE2492" w:rsidRPr="00220C8A" w:rsidRDefault="00EE2492" w:rsidP="00EE2492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lang w:eastAsia="pl-PL"/>
        </w:rPr>
      </w:pPr>
      <w:r w:rsidRPr="00220C8A">
        <w:rPr>
          <w:lang w:eastAsia="pl-PL"/>
        </w:rPr>
        <w:t>Kwalifikowalność wydatków</w:t>
      </w:r>
      <w:r w:rsidR="0038410F">
        <w:rPr>
          <w:lang w:eastAsia="pl-PL"/>
        </w:rPr>
        <w:t xml:space="preserve"> – podstawy prawne</w:t>
      </w:r>
    </w:p>
    <w:p w:rsidR="00EE2492" w:rsidRDefault="00EE2492" w:rsidP="00EE2492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lang w:eastAsia="pl-PL"/>
        </w:rPr>
      </w:pPr>
      <w:r w:rsidRPr="00220C8A">
        <w:rPr>
          <w:lang w:eastAsia="pl-PL"/>
        </w:rPr>
        <w:t>Kwalifikowalność wydatków</w:t>
      </w:r>
      <w:r w:rsidR="0038410F">
        <w:rPr>
          <w:lang w:eastAsia="pl-PL"/>
        </w:rPr>
        <w:t xml:space="preserve"> </w:t>
      </w:r>
      <w:r w:rsidR="0038410F" w:rsidRPr="00220C8A">
        <w:rPr>
          <w:lang w:eastAsia="pl-PL"/>
        </w:rPr>
        <w:t>w projekcie</w:t>
      </w:r>
      <w:r w:rsidR="0038410F">
        <w:rPr>
          <w:lang w:eastAsia="pl-PL"/>
        </w:rPr>
        <w:t xml:space="preserve">  finansowanym z EFRR </w:t>
      </w:r>
      <w:r w:rsidRPr="00220C8A">
        <w:rPr>
          <w:lang w:eastAsia="pl-PL"/>
        </w:rPr>
        <w:t xml:space="preserve"> </w:t>
      </w:r>
      <w:r w:rsidR="0038410F">
        <w:rPr>
          <w:lang w:eastAsia="pl-PL"/>
        </w:rPr>
        <w:t xml:space="preserve">w podziale na kategorie wydatków </w:t>
      </w:r>
      <w:r w:rsidRPr="00220C8A">
        <w:rPr>
          <w:lang w:eastAsia="pl-PL"/>
        </w:rPr>
        <w:t>– szczegółowe omówienie</w:t>
      </w:r>
    </w:p>
    <w:p w:rsidR="0038410F" w:rsidRPr="00220C8A" w:rsidRDefault="0038410F" w:rsidP="0038410F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lang w:eastAsia="pl-PL"/>
        </w:rPr>
      </w:pPr>
      <w:r w:rsidRPr="00220C8A">
        <w:rPr>
          <w:lang w:eastAsia="pl-PL"/>
        </w:rPr>
        <w:t>Kwalifikowalność wydatków</w:t>
      </w:r>
      <w:r>
        <w:rPr>
          <w:lang w:eastAsia="pl-PL"/>
        </w:rPr>
        <w:t xml:space="preserve"> </w:t>
      </w:r>
      <w:r w:rsidRPr="00220C8A">
        <w:rPr>
          <w:lang w:eastAsia="pl-PL"/>
        </w:rPr>
        <w:t>w projekcie</w:t>
      </w:r>
      <w:r>
        <w:rPr>
          <w:lang w:eastAsia="pl-PL"/>
        </w:rPr>
        <w:t xml:space="preserve">  finansowanym  z  EFS </w:t>
      </w:r>
      <w:r w:rsidRPr="00220C8A">
        <w:rPr>
          <w:lang w:eastAsia="pl-PL"/>
        </w:rPr>
        <w:t xml:space="preserve"> </w:t>
      </w:r>
      <w:r>
        <w:rPr>
          <w:lang w:eastAsia="pl-PL"/>
        </w:rPr>
        <w:t xml:space="preserve">w podziale na kategorie wydatków </w:t>
      </w:r>
      <w:r w:rsidRPr="00220C8A">
        <w:rPr>
          <w:lang w:eastAsia="pl-PL"/>
        </w:rPr>
        <w:t>– szczegółowe omówienie</w:t>
      </w:r>
    </w:p>
    <w:p w:rsidR="00EE2492" w:rsidRDefault="00EE2492" w:rsidP="00EE2492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lang w:eastAsia="pl-PL"/>
        </w:rPr>
      </w:pPr>
      <w:r w:rsidRPr="00220C8A">
        <w:rPr>
          <w:lang w:eastAsia="pl-PL"/>
        </w:rPr>
        <w:t>Wydatki niekwalifikowalne w projekcie</w:t>
      </w:r>
      <w:r w:rsidR="006513B8">
        <w:rPr>
          <w:lang w:eastAsia="pl-PL"/>
        </w:rPr>
        <w:t xml:space="preserve">  finansowanym z EFRR oraz z  EFS</w:t>
      </w:r>
    </w:p>
    <w:p w:rsidR="00EE2492" w:rsidRPr="00CA5B78" w:rsidRDefault="00EE2492" w:rsidP="00EE2492">
      <w:pPr>
        <w:rPr>
          <w:b/>
          <w:bCs/>
          <w:color w:val="31849B" w:themeColor="accent5" w:themeShade="BF"/>
        </w:rPr>
      </w:pPr>
      <w:r w:rsidRPr="00CA5B78">
        <w:rPr>
          <w:rStyle w:val="FontStyle52"/>
          <w:rFonts w:asciiTheme="minorHAnsi" w:hAnsiTheme="minorHAnsi"/>
          <w:color w:val="31849B" w:themeColor="accent5" w:themeShade="BF"/>
          <w:sz w:val="22"/>
        </w:rPr>
        <w:t>1</w:t>
      </w:r>
      <w:r w:rsidR="00DC5E11">
        <w:rPr>
          <w:rStyle w:val="FontStyle52"/>
          <w:rFonts w:asciiTheme="minorHAnsi" w:hAnsiTheme="minorHAnsi"/>
          <w:color w:val="31849B" w:themeColor="accent5" w:themeShade="BF"/>
          <w:sz w:val="22"/>
        </w:rPr>
        <w:t>2</w:t>
      </w:r>
      <w:r w:rsidRPr="00CA5B78">
        <w:rPr>
          <w:rStyle w:val="FontStyle52"/>
          <w:rFonts w:asciiTheme="minorHAnsi" w:hAnsiTheme="minorHAnsi"/>
          <w:color w:val="31849B" w:themeColor="accent5" w:themeShade="BF"/>
          <w:sz w:val="22"/>
        </w:rPr>
        <w:t>.</w:t>
      </w:r>
      <w:r w:rsidR="00DC5E11">
        <w:rPr>
          <w:rStyle w:val="FontStyle52"/>
          <w:rFonts w:asciiTheme="minorHAnsi" w:hAnsiTheme="minorHAnsi"/>
          <w:color w:val="31849B" w:themeColor="accent5" w:themeShade="BF"/>
          <w:sz w:val="22"/>
        </w:rPr>
        <w:t>15</w:t>
      </w:r>
      <w:r w:rsidRPr="00CA5B78">
        <w:rPr>
          <w:rStyle w:val="FontStyle52"/>
          <w:rFonts w:asciiTheme="minorHAnsi" w:hAnsiTheme="minorHAnsi"/>
          <w:color w:val="31849B" w:themeColor="accent5" w:themeShade="BF"/>
          <w:sz w:val="22"/>
        </w:rPr>
        <w:t xml:space="preserve">  - 1</w:t>
      </w:r>
      <w:r w:rsidR="00DC5E11">
        <w:rPr>
          <w:rStyle w:val="FontStyle52"/>
          <w:rFonts w:asciiTheme="minorHAnsi" w:hAnsiTheme="minorHAnsi"/>
          <w:color w:val="31849B" w:themeColor="accent5" w:themeShade="BF"/>
          <w:sz w:val="22"/>
        </w:rPr>
        <w:t>2</w:t>
      </w:r>
      <w:r w:rsidRPr="00CA5B78">
        <w:rPr>
          <w:rStyle w:val="FontStyle52"/>
          <w:rFonts w:asciiTheme="minorHAnsi" w:hAnsiTheme="minorHAnsi"/>
          <w:color w:val="31849B" w:themeColor="accent5" w:themeShade="BF"/>
          <w:sz w:val="22"/>
        </w:rPr>
        <w:t>.</w:t>
      </w:r>
      <w:r w:rsidR="00DC5E11">
        <w:rPr>
          <w:rStyle w:val="FontStyle52"/>
          <w:rFonts w:asciiTheme="minorHAnsi" w:hAnsiTheme="minorHAnsi"/>
          <w:color w:val="31849B" w:themeColor="accent5" w:themeShade="BF"/>
          <w:sz w:val="22"/>
        </w:rPr>
        <w:t>30</w:t>
      </w:r>
      <w:r w:rsidRPr="00CA5B78">
        <w:rPr>
          <w:rStyle w:val="FontStyle52"/>
          <w:rFonts w:asciiTheme="minorHAnsi" w:hAnsiTheme="minorHAnsi"/>
          <w:color w:val="31849B" w:themeColor="accent5" w:themeShade="BF"/>
          <w:sz w:val="22"/>
        </w:rPr>
        <w:t xml:space="preserve"> przerwa  </w:t>
      </w:r>
    </w:p>
    <w:p w:rsidR="00EE2492" w:rsidRDefault="00EE2492" w:rsidP="00EE2492">
      <w:pPr>
        <w:rPr>
          <w:rStyle w:val="FontStyle52"/>
          <w:rFonts w:asciiTheme="minorHAnsi" w:hAnsiTheme="minorHAnsi"/>
          <w:color w:val="31849B" w:themeColor="accent5" w:themeShade="BF"/>
          <w:sz w:val="22"/>
        </w:rPr>
      </w:pPr>
      <w:r w:rsidRPr="00CA5B78">
        <w:rPr>
          <w:rStyle w:val="FontStyle52"/>
          <w:rFonts w:asciiTheme="minorHAnsi" w:hAnsiTheme="minorHAnsi"/>
          <w:color w:val="31849B" w:themeColor="accent5" w:themeShade="BF"/>
          <w:sz w:val="22"/>
        </w:rPr>
        <w:t>1</w:t>
      </w:r>
      <w:r w:rsidR="00DC5E11">
        <w:rPr>
          <w:rStyle w:val="FontStyle52"/>
          <w:rFonts w:asciiTheme="minorHAnsi" w:hAnsiTheme="minorHAnsi"/>
          <w:color w:val="31849B" w:themeColor="accent5" w:themeShade="BF"/>
          <w:sz w:val="22"/>
        </w:rPr>
        <w:t>2</w:t>
      </w:r>
      <w:r w:rsidRPr="00CA5B78">
        <w:rPr>
          <w:rStyle w:val="FontStyle52"/>
          <w:rFonts w:asciiTheme="minorHAnsi" w:hAnsiTheme="minorHAnsi"/>
          <w:color w:val="31849B" w:themeColor="accent5" w:themeShade="BF"/>
          <w:sz w:val="22"/>
        </w:rPr>
        <w:t>.</w:t>
      </w:r>
      <w:r w:rsidR="00DC5E11">
        <w:rPr>
          <w:rStyle w:val="FontStyle52"/>
          <w:rFonts w:asciiTheme="minorHAnsi" w:hAnsiTheme="minorHAnsi"/>
          <w:color w:val="31849B" w:themeColor="accent5" w:themeShade="BF"/>
          <w:sz w:val="22"/>
        </w:rPr>
        <w:t>30</w:t>
      </w:r>
      <w:r w:rsidRPr="00CA5B78">
        <w:rPr>
          <w:rStyle w:val="FontStyle52"/>
          <w:rFonts w:asciiTheme="minorHAnsi" w:hAnsiTheme="minorHAnsi"/>
          <w:color w:val="31849B" w:themeColor="accent5" w:themeShade="BF"/>
          <w:sz w:val="22"/>
        </w:rPr>
        <w:t xml:space="preserve">  - 1</w:t>
      </w:r>
      <w:r w:rsidR="00DC5E11">
        <w:rPr>
          <w:rStyle w:val="FontStyle52"/>
          <w:rFonts w:asciiTheme="minorHAnsi" w:hAnsiTheme="minorHAnsi"/>
          <w:color w:val="31849B" w:themeColor="accent5" w:themeShade="BF"/>
          <w:sz w:val="22"/>
        </w:rPr>
        <w:t>4</w:t>
      </w:r>
      <w:r w:rsidRPr="00CA5B78">
        <w:rPr>
          <w:rStyle w:val="FontStyle52"/>
          <w:rFonts w:asciiTheme="minorHAnsi" w:hAnsiTheme="minorHAnsi"/>
          <w:color w:val="31849B" w:themeColor="accent5" w:themeShade="BF"/>
          <w:sz w:val="22"/>
        </w:rPr>
        <w:t>.</w:t>
      </w:r>
      <w:r w:rsidR="00DC5E11">
        <w:rPr>
          <w:rStyle w:val="FontStyle52"/>
          <w:rFonts w:asciiTheme="minorHAnsi" w:hAnsiTheme="minorHAnsi"/>
          <w:color w:val="31849B" w:themeColor="accent5" w:themeShade="BF"/>
          <w:sz w:val="22"/>
        </w:rPr>
        <w:t>0</w:t>
      </w:r>
      <w:r w:rsidR="0023331C">
        <w:rPr>
          <w:rStyle w:val="FontStyle52"/>
          <w:rFonts w:asciiTheme="minorHAnsi" w:hAnsiTheme="minorHAnsi"/>
          <w:color w:val="31849B" w:themeColor="accent5" w:themeShade="BF"/>
          <w:sz w:val="22"/>
        </w:rPr>
        <w:t>0  moduł III</w:t>
      </w:r>
    </w:p>
    <w:p w:rsidR="00D431A0" w:rsidRPr="00CA5B78" w:rsidRDefault="00D431A0" w:rsidP="00EE2492">
      <w:pPr>
        <w:rPr>
          <w:b/>
          <w:bCs/>
          <w:color w:val="31849B" w:themeColor="accent5" w:themeShade="BF"/>
        </w:rPr>
      </w:pPr>
    </w:p>
    <w:p w:rsidR="003475E7" w:rsidRPr="003475E7" w:rsidRDefault="003475E7" w:rsidP="00AD365E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475E7">
        <w:rPr>
          <w:rFonts w:asciiTheme="minorHAnsi" w:hAnsiTheme="minorHAnsi"/>
          <w:b/>
          <w:sz w:val="22"/>
        </w:rPr>
        <w:t>Konstruowanie budżetu projektu</w:t>
      </w:r>
      <w:r>
        <w:rPr>
          <w:rFonts w:asciiTheme="minorHAnsi" w:hAnsiTheme="minorHAnsi"/>
          <w:b/>
          <w:sz w:val="22"/>
        </w:rPr>
        <w:t xml:space="preserve">  </w:t>
      </w:r>
    </w:p>
    <w:p w:rsidR="00EE2492" w:rsidRDefault="00EE2492" w:rsidP="00EE2492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lang w:eastAsia="pl-PL"/>
        </w:rPr>
      </w:pPr>
      <w:r w:rsidRPr="00220C8A">
        <w:rPr>
          <w:lang w:eastAsia="pl-PL"/>
        </w:rPr>
        <w:t>Konstru</w:t>
      </w:r>
      <w:r w:rsidR="003475E7">
        <w:rPr>
          <w:lang w:eastAsia="pl-PL"/>
        </w:rPr>
        <w:t xml:space="preserve">owanie </w:t>
      </w:r>
      <w:r w:rsidRPr="00220C8A">
        <w:rPr>
          <w:lang w:eastAsia="pl-PL"/>
        </w:rPr>
        <w:t xml:space="preserve"> budżetu projektu we wniosku o dofinansowanie</w:t>
      </w:r>
      <w:r w:rsidR="003475E7">
        <w:rPr>
          <w:lang w:eastAsia="pl-PL"/>
        </w:rPr>
        <w:t xml:space="preserve"> finansowanego z EFRR</w:t>
      </w:r>
    </w:p>
    <w:p w:rsidR="003475E7" w:rsidRDefault="003475E7" w:rsidP="003475E7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lang w:eastAsia="pl-PL"/>
        </w:rPr>
      </w:pPr>
      <w:r w:rsidRPr="00220C8A">
        <w:rPr>
          <w:lang w:eastAsia="pl-PL"/>
        </w:rPr>
        <w:t>Konstru</w:t>
      </w:r>
      <w:r>
        <w:rPr>
          <w:lang w:eastAsia="pl-PL"/>
        </w:rPr>
        <w:t xml:space="preserve">owanie </w:t>
      </w:r>
      <w:r w:rsidRPr="00220C8A">
        <w:rPr>
          <w:lang w:eastAsia="pl-PL"/>
        </w:rPr>
        <w:t xml:space="preserve"> budżetu projektu we wniosku o dofinansowanie</w:t>
      </w:r>
      <w:r>
        <w:rPr>
          <w:lang w:eastAsia="pl-PL"/>
        </w:rPr>
        <w:t xml:space="preserve"> finansowanego z EFS</w:t>
      </w:r>
    </w:p>
    <w:p w:rsidR="003475E7" w:rsidRDefault="00EE2492" w:rsidP="00EE2492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lang w:eastAsia="pl-PL"/>
        </w:rPr>
      </w:pPr>
      <w:r w:rsidRPr="00220C8A">
        <w:rPr>
          <w:lang w:eastAsia="pl-PL"/>
        </w:rPr>
        <w:t xml:space="preserve">Struktura </w:t>
      </w:r>
      <w:r w:rsidR="003475E7">
        <w:rPr>
          <w:lang w:eastAsia="pl-PL"/>
        </w:rPr>
        <w:t>budżetu w kontekście ponoszonych wydatków</w:t>
      </w:r>
    </w:p>
    <w:p w:rsidR="00EE2492" w:rsidRPr="00220C8A" w:rsidRDefault="003475E7" w:rsidP="00EE2492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lang w:eastAsia="pl-PL"/>
        </w:rPr>
      </w:pPr>
      <w:r>
        <w:rPr>
          <w:lang w:eastAsia="pl-PL"/>
        </w:rPr>
        <w:t>Ź</w:t>
      </w:r>
      <w:r w:rsidR="00EE2492" w:rsidRPr="00220C8A">
        <w:rPr>
          <w:lang w:eastAsia="pl-PL"/>
        </w:rPr>
        <w:t>ródła finansowania projektu</w:t>
      </w:r>
    </w:p>
    <w:p w:rsidR="00EE2492" w:rsidRPr="00220C8A" w:rsidRDefault="00EE2492" w:rsidP="00EE2492">
      <w:pPr>
        <w:pStyle w:val="Akapitzlist"/>
        <w:numPr>
          <w:ilvl w:val="0"/>
          <w:numId w:val="2"/>
        </w:numPr>
        <w:spacing w:after="0" w:line="360" w:lineRule="auto"/>
        <w:ind w:left="709" w:hanging="425"/>
        <w:rPr>
          <w:color w:val="000000"/>
        </w:rPr>
      </w:pPr>
      <w:r w:rsidRPr="00220C8A">
        <w:rPr>
          <w:bCs/>
          <w:color w:val="000000"/>
        </w:rPr>
        <w:t>Podsumowanie szkolenia.</w:t>
      </w:r>
      <w:r w:rsidR="00D431A0">
        <w:rPr>
          <w:bCs/>
          <w:color w:val="000000"/>
        </w:rPr>
        <w:t xml:space="preserve"> </w:t>
      </w:r>
    </w:p>
    <w:sectPr w:rsidR="00EE2492" w:rsidRPr="0022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0092"/>
    <w:multiLevelType w:val="hybridMultilevel"/>
    <w:tmpl w:val="494A0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6873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34D19"/>
    <w:multiLevelType w:val="hybridMultilevel"/>
    <w:tmpl w:val="119844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9E1954"/>
    <w:multiLevelType w:val="hybridMultilevel"/>
    <w:tmpl w:val="B5808E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5"/>
    <w:rsid w:val="0023331C"/>
    <w:rsid w:val="003475E7"/>
    <w:rsid w:val="0038410F"/>
    <w:rsid w:val="00555005"/>
    <w:rsid w:val="006513B8"/>
    <w:rsid w:val="00AD365E"/>
    <w:rsid w:val="00C915FB"/>
    <w:rsid w:val="00D431A0"/>
    <w:rsid w:val="00D86905"/>
    <w:rsid w:val="00DC5E11"/>
    <w:rsid w:val="00E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E4B3E-7282-4F40-A327-7A89F29A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49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E2492"/>
    <w:pPr>
      <w:keepNext/>
      <w:outlineLvl w:val="2"/>
    </w:pPr>
    <w:rPr>
      <w:rFonts w:ascii="Arial" w:eastAsia="Times New Roman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249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FontStyle52">
    <w:name w:val="Font Style52"/>
    <w:basedOn w:val="Domylnaczcionkaakapitu"/>
    <w:rsid w:val="00EE2492"/>
    <w:rPr>
      <w:rFonts w:ascii="Book Antiqua" w:hAnsi="Book Antiqua"/>
      <w:sz w:val="18"/>
    </w:rPr>
  </w:style>
  <w:style w:type="paragraph" w:styleId="NormalnyWeb">
    <w:name w:val="Normal (Web)"/>
    <w:basedOn w:val="Normalny"/>
    <w:uiPriority w:val="99"/>
    <w:rsid w:val="00EE2492"/>
    <w:pPr>
      <w:spacing w:before="100" w:beforeAutospacing="1" w:after="100" w:afterAutospacing="1"/>
    </w:pPr>
    <w:rPr>
      <w:rFonts w:eastAsia="Times New Roman"/>
      <w:color w:val="6E0913"/>
    </w:rPr>
  </w:style>
  <w:style w:type="paragraph" w:styleId="Akapitzlist">
    <w:name w:val="List Paragraph"/>
    <w:basedOn w:val="Normalny"/>
    <w:uiPriority w:val="34"/>
    <w:qFormat/>
    <w:rsid w:val="00EE2492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30C55.5D4542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</dc:creator>
  <cp:keywords/>
  <dc:description/>
  <cp:lastModifiedBy>Anna Maroń</cp:lastModifiedBy>
  <cp:revision>3</cp:revision>
  <dcterms:created xsi:type="dcterms:W3CDTF">2017-08-22T10:22:00Z</dcterms:created>
  <dcterms:modified xsi:type="dcterms:W3CDTF">2017-08-22T10:26:00Z</dcterms:modified>
</cp:coreProperties>
</file>