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8C30BB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Olsztyn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C77773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11-12.09.</w:t>
      </w:r>
      <w:r w:rsidR="008C30BB">
        <w:rPr>
          <w:rFonts w:ascii="Arial" w:hAnsi="Arial" w:cs="Arial"/>
          <w:bCs/>
        </w:rPr>
        <w:t xml:space="preserve">2017 – </w:t>
      </w:r>
      <w:r w:rsidR="005505FC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II</w:t>
      </w:r>
      <w:bookmarkStart w:id="0" w:name="_GoBack"/>
      <w:bookmarkEnd w:id="0"/>
      <w:r w:rsidR="008C30BB">
        <w:rPr>
          <w:rFonts w:ascii="Arial" w:hAnsi="Arial" w:cs="Arial"/>
          <w:bCs/>
        </w:rPr>
        <w:t xml:space="preserve"> grupa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271B07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 xml:space="preserve">Miejsce </w:t>
      </w:r>
      <w:r w:rsidR="00B3625B" w:rsidRPr="009A4FCD">
        <w:rPr>
          <w:rFonts w:ascii="Arial" w:hAnsi="Arial" w:cs="Arial"/>
          <w:b/>
        </w:rPr>
        <w:t>szkole</w:t>
      </w:r>
      <w:r w:rsidR="00271B07">
        <w:rPr>
          <w:rFonts w:ascii="Arial" w:hAnsi="Arial" w:cs="Arial"/>
          <w:b/>
        </w:rPr>
        <w:t>ń</w:t>
      </w:r>
      <w:r w:rsidRPr="009A4FCD">
        <w:rPr>
          <w:rFonts w:ascii="Arial" w:hAnsi="Arial" w:cs="Arial"/>
        </w:rPr>
        <w:t xml:space="preserve">: </w:t>
      </w:r>
    </w:p>
    <w:p w:rsidR="00271B07" w:rsidRPr="00271B0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Warmińsko-Mazurska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Agencja Rozwoju Regionalnego S.A.</w:t>
      </w:r>
      <w:r>
        <w:rPr>
          <w:rFonts w:ascii="Arial" w:hAnsi="Arial" w:cs="Arial"/>
        </w:rPr>
        <w:t xml:space="preserve"> </w:t>
      </w:r>
      <w:r w:rsidRPr="00271B07">
        <w:rPr>
          <w:rFonts w:ascii="Arial" w:hAnsi="Arial" w:cs="Arial"/>
        </w:rPr>
        <w:t>w Olsztynie</w:t>
      </w:r>
    </w:p>
    <w:p w:rsidR="00F10CC7" w:rsidRDefault="00271B07" w:rsidP="00271B07">
      <w:pPr>
        <w:spacing w:line="276" w:lineRule="auto"/>
        <w:outlineLvl w:val="0"/>
        <w:rPr>
          <w:rFonts w:ascii="Arial" w:hAnsi="Arial" w:cs="Arial"/>
        </w:rPr>
      </w:pPr>
      <w:r w:rsidRPr="00271B07">
        <w:rPr>
          <w:rFonts w:ascii="Arial" w:hAnsi="Arial" w:cs="Arial"/>
        </w:rPr>
        <w:t>Plac Gen. Józefa Bema 3</w:t>
      </w:r>
      <w:r>
        <w:rPr>
          <w:rFonts w:ascii="Arial" w:hAnsi="Arial" w:cs="Arial"/>
        </w:rPr>
        <w:t xml:space="preserve">, </w:t>
      </w:r>
      <w:r w:rsidRPr="00271B07">
        <w:rPr>
          <w:rFonts w:ascii="Arial" w:hAnsi="Arial" w:cs="Arial"/>
        </w:rPr>
        <w:t>10-516 Olsztyn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D" w:rsidRDefault="00D1657D">
      <w:r>
        <w:separator/>
      </w:r>
    </w:p>
  </w:endnote>
  <w:endnote w:type="continuationSeparator" w:id="0">
    <w:p w:rsidR="00D1657D" w:rsidRDefault="00D1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D" w:rsidRDefault="00D1657D">
      <w:r>
        <w:separator/>
      </w:r>
    </w:p>
  </w:footnote>
  <w:footnote w:type="continuationSeparator" w:id="0">
    <w:p w:rsidR="00D1657D" w:rsidRDefault="00D1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1657D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6089F"/>
    <w:rsid w:val="00F6154D"/>
    <w:rsid w:val="00F70AE2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60104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82B6-BB0B-472E-A3C5-B7DD6820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2017-08-17T08:13:00Z</dcterms:created>
  <dcterms:modified xsi:type="dcterms:W3CDTF">2017-08-17T08:14:00Z</dcterms:modified>
</cp:coreProperties>
</file>