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5AB" w:rsidRPr="002C4CAC" w:rsidRDefault="00F225AB" w:rsidP="00B932D5">
      <w:pPr>
        <w:jc w:val="right"/>
        <w:rPr>
          <w:rFonts w:cs="Arial"/>
        </w:rPr>
      </w:pPr>
    </w:p>
    <w:p w:rsidR="00F225AB" w:rsidRPr="002C4CAC" w:rsidRDefault="00F225AB" w:rsidP="00B932D5">
      <w:pPr>
        <w:jc w:val="right"/>
        <w:rPr>
          <w:b/>
          <w:sz w:val="26"/>
          <w:szCs w:val="26"/>
        </w:rPr>
      </w:pPr>
      <w:r>
        <w:rPr>
          <w:rFonts w:cs="Arial"/>
        </w:rPr>
        <w:t xml:space="preserve">Olsztyn, </w:t>
      </w:r>
      <w:r w:rsidR="007576E3">
        <w:rPr>
          <w:rFonts w:cs="Arial"/>
        </w:rPr>
        <w:t xml:space="preserve">13 </w:t>
      </w:r>
      <w:bookmarkStart w:id="0" w:name="_GoBack"/>
      <w:bookmarkEnd w:id="0"/>
      <w:r w:rsidR="007131F4">
        <w:rPr>
          <w:rFonts w:cs="Arial"/>
        </w:rPr>
        <w:t>marca</w:t>
      </w:r>
      <w:r>
        <w:rPr>
          <w:rFonts w:cs="Arial"/>
        </w:rPr>
        <w:t xml:space="preserve"> </w:t>
      </w:r>
      <w:r w:rsidRPr="002C4CAC">
        <w:rPr>
          <w:rFonts w:cs="Arial"/>
        </w:rPr>
        <w:t>201</w:t>
      </w:r>
      <w:r w:rsidR="00B73B02">
        <w:rPr>
          <w:rFonts w:cs="Arial"/>
        </w:rPr>
        <w:t>8</w:t>
      </w:r>
      <w:r w:rsidRPr="002C4CAC">
        <w:rPr>
          <w:rFonts w:cs="Arial"/>
        </w:rPr>
        <w:t xml:space="preserve"> r.</w:t>
      </w:r>
    </w:p>
    <w:p w:rsidR="00F225AB" w:rsidRPr="002E4AEE" w:rsidRDefault="00F225AB" w:rsidP="002E4AEE">
      <w:pPr>
        <w:jc w:val="center"/>
        <w:rPr>
          <w:b/>
          <w:sz w:val="26"/>
          <w:szCs w:val="26"/>
        </w:rPr>
      </w:pPr>
      <w:r w:rsidRPr="002C4CAC">
        <w:rPr>
          <w:b/>
          <w:sz w:val="26"/>
          <w:szCs w:val="26"/>
        </w:rPr>
        <w:t xml:space="preserve">Projekty pozakonkursowe </w:t>
      </w:r>
      <w:r w:rsidR="00404B3C">
        <w:rPr>
          <w:b/>
          <w:sz w:val="26"/>
          <w:szCs w:val="26"/>
        </w:rPr>
        <w:br/>
      </w:r>
      <w:r w:rsidRPr="002C4CAC">
        <w:rPr>
          <w:b/>
          <w:sz w:val="26"/>
          <w:szCs w:val="26"/>
        </w:rPr>
        <w:t xml:space="preserve">w Regionalnym Programie Operacyjnym </w:t>
      </w:r>
      <w:r w:rsidR="00404B3C">
        <w:rPr>
          <w:b/>
          <w:sz w:val="26"/>
          <w:szCs w:val="26"/>
        </w:rPr>
        <w:br/>
      </w:r>
      <w:r w:rsidRPr="002C4CAC">
        <w:rPr>
          <w:b/>
          <w:sz w:val="26"/>
          <w:szCs w:val="26"/>
        </w:rPr>
        <w:t>Województwa Warmińsko-Mazurskiego na lata 2014-2020</w:t>
      </w:r>
    </w:p>
    <w:p w:rsidR="00F225AB" w:rsidRPr="002C4CAC" w:rsidRDefault="00F225AB" w:rsidP="00340EB8">
      <w:pPr>
        <w:pStyle w:val="Akapitzlist"/>
        <w:numPr>
          <w:ilvl w:val="0"/>
          <w:numId w:val="1"/>
        </w:numPr>
        <w:ind w:left="284" w:hanging="284"/>
        <w:jc w:val="both"/>
        <w:rPr>
          <w:b/>
          <w:sz w:val="24"/>
          <w:szCs w:val="24"/>
        </w:rPr>
      </w:pPr>
      <w:r w:rsidRPr="002C4CAC">
        <w:rPr>
          <w:b/>
          <w:sz w:val="24"/>
          <w:szCs w:val="24"/>
        </w:rPr>
        <w:t>Wprowadzenie</w:t>
      </w:r>
    </w:p>
    <w:p w:rsidR="00F225AB" w:rsidRPr="002C4CAC" w:rsidRDefault="00F225AB" w:rsidP="00340EB8">
      <w:pPr>
        <w:pStyle w:val="Akapitzlist"/>
        <w:ind w:left="284"/>
        <w:jc w:val="both"/>
        <w:rPr>
          <w:b/>
          <w:sz w:val="10"/>
          <w:szCs w:val="10"/>
        </w:rPr>
      </w:pPr>
    </w:p>
    <w:p w:rsidR="00F225AB" w:rsidRPr="002C4CAC" w:rsidRDefault="00F225AB" w:rsidP="00E31F33">
      <w:pPr>
        <w:pStyle w:val="Akapitzlist"/>
        <w:spacing w:after="0"/>
        <w:ind w:left="284"/>
        <w:jc w:val="both"/>
      </w:pPr>
      <w:r w:rsidRPr="002C4CAC">
        <w:t xml:space="preserve">Niniejszy dokument określa ogólne ramy dla identyfikacji i funkcjonowania projektów współfinansowanych z funduszy strukturalnych Unii Europejskiej w trybie pozakonkursowym </w:t>
      </w:r>
      <w:r w:rsidRPr="002C4CAC">
        <w:br/>
        <w:t xml:space="preserve">w perspektywie finansowej 2014-2020. Jego adresatem są przede wszystkim departamenty </w:t>
      </w:r>
      <w:r w:rsidRPr="002C4CAC">
        <w:br/>
        <w:t xml:space="preserve">w Urzędzie Marszałkowskim Województwa Warmińsko-Mazurskiego w Olsztynie wypełniające na rzecz Zarządu Województwa  (poczynając od programowania) funkcje instytucji </w:t>
      </w:r>
      <w:r w:rsidR="00404B3C">
        <w:t xml:space="preserve">zarządzającej </w:t>
      </w:r>
      <w:r w:rsidRPr="002C4CAC">
        <w:rPr>
          <w:i/>
        </w:rPr>
        <w:t>Regionalnym Programem Operacyjnym Województwa Warmińsko-Mazurskiego na lata 2014-2020</w:t>
      </w:r>
      <w:r w:rsidRPr="002C4CAC">
        <w:t xml:space="preserve"> (RPO WiM 2014-2020), zwanym dalej Programem a także instytucje pośredniczące.</w:t>
      </w:r>
    </w:p>
    <w:p w:rsidR="00F225AB" w:rsidRPr="002C4CAC" w:rsidRDefault="00F225AB" w:rsidP="00E31F33">
      <w:pPr>
        <w:pStyle w:val="Akapitzlist"/>
        <w:spacing w:after="0"/>
        <w:ind w:left="284"/>
        <w:jc w:val="both"/>
        <w:rPr>
          <w:sz w:val="10"/>
          <w:szCs w:val="10"/>
        </w:rPr>
      </w:pPr>
    </w:p>
    <w:p w:rsidR="00F225AB" w:rsidRPr="002C4CAC" w:rsidRDefault="00F225AB" w:rsidP="001762F0">
      <w:pPr>
        <w:pStyle w:val="Akapitzlist"/>
        <w:ind w:left="284"/>
        <w:contextualSpacing w:val="0"/>
        <w:jc w:val="both"/>
      </w:pPr>
      <w:r w:rsidRPr="002C4CAC">
        <w:t xml:space="preserve">Dokument, w swoim założeniu, ma przede wszystkim umożliwić zidentyfikowanie na etapie programowania (tworzenia projektu Programu) indykatywnej listy przedsięwzięć do realizacji </w:t>
      </w:r>
      <w:r w:rsidRPr="002C4CAC">
        <w:br/>
        <w:t xml:space="preserve">w trybie pozakonkursowym. Wchodzące w ich zakres projekty znalazły w większości odzwierciedlenie w treści wynegocjowanego z Komisją Europejską RPO WiM 2014-2020 (przyjętego Uchwałą Nr 16/150/15/V Zarządu Województwa  Warmińsko-Mazurskiego </w:t>
      </w:r>
      <w:r w:rsidR="005A1239">
        <w:t>z</w:t>
      </w:r>
      <w:r w:rsidR="005A1239" w:rsidRPr="002C4CAC">
        <w:t xml:space="preserve"> </w:t>
      </w:r>
      <w:r w:rsidRPr="002C4CAC">
        <w:t>dni</w:t>
      </w:r>
      <w:r w:rsidR="005A1239">
        <w:t>a</w:t>
      </w:r>
      <w:r w:rsidRPr="002C4CAC">
        <w:t xml:space="preserve"> 24 marca 2015 r.)</w:t>
      </w:r>
      <w:r w:rsidR="00CB0C91">
        <w:t xml:space="preserve"> oraz </w:t>
      </w:r>
      <w:r w:rsidR="005A1239">
        <w:t xml:space="preserve">w </w:t>
      </w:r>
      <w:r w:rsidR="00A52876">
        <w:t>propozycjach</w:t>
      </w:r>
      <w:r w:rsidR="00CB0C91" w:rsidRPr="00CB0C91">
        <w:t xml:space="preserve"> zmian </w:t>
      </w:r>
      <w:r w:rsidR="005A1239">
        <w:t xml:space="preserve">RPO WiM </w:t>
      </w:r>
      <w:r w:rsidR="00CB0C91" w:rsidRPr="00CB0C91">
        <w:t>2014-2020 (</w:t>
      </w:r>
      <w:r w:rsidR="00A52876">
        <w:t>przyjętych</w:t>
      </w:r>
      <w:r w:rsidR="005A1239">
        <w:t xml:space="preserve"> </w:t>
      </w:r>
      <w:r w:rsidR="00A52876">
        <w:t>przez Zarząd</w:t>
      </w:r>
      <w:r w:rsidR="00A52876" w:rsidRPr="00CB0C91">
        <w:t xml:space="preserve"> Województwa Warmińsko-Mazurskiego</w:t>
      </w:r>
      <w:r w:rsidR="00A52876" w:rsidRPr="00CB0C91" w:rsidDel="005A1239">
        <w:t xml:space="preserve"> </w:t>
      </w:r>
      <w:r w:rsidR="005A1239">
        <w:t>U</w:t>
      </w:r>
      <w:r w:rsidR="00CB0C91" w:rsidRPr="00CB0C91">
        <w:t>chwał</w:t>
      </w:r>
      <w:r w:rsidR="005A1239">
        <w:t>ą</w:t>
      </w:r>
      <w:r w:rsidR="00CB0C91" w:rsidRPr="00CB0C91">
        <w:t xml:space="preserve"> nr 75/1236/17/V z dnia 22 grudnia 2017 r.)</w:t>
      </w:r>
      <w:r w:rsidR="00A52876">
        <w:t>.</w:t>
      </w:r>
    </w:p>
    <w:p w:rsidR="00F225AB" w:rsidRPr="002C4CAC" w:rsidRDefault="00F225AB" w:rsidP="006E461D">
      <w:pPr>
        <w:pStyle w:val="Akapitzlist"/>
        <w:ind w:left="284"/>
        <w:contextualSpacing w:val="0"/>
        <w:jc w:val="both"/>
      </w:pPr>
      <w:r w:rsidRPr="002C4CAC">
        <w:t xml:space="preserve">Otoczenie formalno-prawne wdrażania programów operacyjnych zostało przygotowane i tym samym w pełni przystosowane do przeprowadzenia identyfikacji i określenia ram funkcjonowania projektów pozakonkursowych. </w:t>
      </w:r>
    </w:p>
    <w:p w:rsidR="00F225AB" w:rsidRPr="00404B3C" w:rsidRDefault="00F225AB" w:rsidP="00404B3C">
      <w:pPr>
        <w:pStyle w:val="Akapitzlist"/>
        <w:ind w:left="284"/>
        <w:contextualSpacing w:val="0"/>
        <w:jc w:val="both"/>
      </w:pPr>
      <w:r w:rsidRPr="002C4CAC">
        <w:t>Podstawowe warunki tego procesu zostały uregulowane w następujących dokumentach:</w:t>
      </w:r>
    </w:p>
    <w:p w:rsidR="00F225AB" w:rsidRPr="002C4CAC" w:rsidRDefault="00F225AB" w:rsidP="00226F35">
      <w:pPr>
        <w:pStyle w:val="Akapitzlist"/>
        <w:numPr>
          <w:ilvl w:val="0"/>
          <w:numId w:val="5"/>
        </w:numPr>
        <w:tabs>
          <w:tab w:val="left" w:pos="993"/>
        </w:tabs>
        <w:ind w:left="993" w:hanging="426"/>
        <w:jc w:val="both"/>
      </w:pPr>
      <w:r w:rsidRPr="002C4CAC">
        <w:t>Rozporządzeniu Parlamentu Europejskiego i Rady (UE) nr 1303/2013 z dnia 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oraz uchylającym rozporządzenie Rady (WE) nr 1083/2006 (Dz. U. UE z dn.20.12.2013, I. 347/320);</w:t>
      </w:r>
    </w:p>
    <w:p w:rsidR="00F225AB" w:rsidRPr="002C4CAC" w:rsidRDefault="00F225AB" w:rsidP="00E31F33">
      <w:pPr>
        <w:pStyle w:val="Akapitzlist"/>
        <w:numPr>
          <w:ilvl w:val="0"/>
          <w:numId w:val="5"/>
        </w:numPr>
        <w:tabs>
          <w:tab w:val="left" w:pos="993"/>
        </w:tabs>
        <w:ind w:left="993" w:hanging="426"/>
        <w:jc w:val="both"/>
      </w:pPr>
      <w:r w:rsidRPr="002C4CAC">
        <w:rPr>
          <w:i/>
        </w:rPr>
        <w:t xml:space="preserve">„Programowanie perspektywy finansowej 2014-2020 - Umowa Partnerstwa” </w:t>
      </w:r>
      <w:r w:rsidRPr="002C4CAC">
        <w:t>(</w:t>
      </w:r>
      <w:r w:rsidR="005A1239">
        <w:t xml:space="preserve">przyjęta </w:t>
      </w:r>
      <w:r w:rsidRPr="002C4CAC">
        <w:t>21 maja 2014 r.</w:t>
      </w:r>
      <w:r w:rsidR="005A1239">
        <w:t xml:space="preserve"> i zmieniona </w:t>
      </w:r>
      <w:r w:rsidR="00677A0A">
        <w:t>23 października 2017 r.</w:t>
      </w:r>
      <w:r w:rsidR="005A1239">
        <w:t xml:space="preserve"> </w:t>
      </w:r>
      <w:r w:rsidRPr="002C4CAC">
        <w:t>);</w:t>
      </w:r>
    </w:p>
    <w:p w:rsidR="00F225AB" w:rsidRPr="00F94406" w:rsidRDefault="00F225AB" w:rsidP="00BF53A1">
      <w:pPr>
        <w:pStyle w:val="Akapitzlist"/>
        <w:numPr>
          <w:ilvl w:val="0"/>
          <w:numId w:val="5"/>
        </w:numPr>
        <w:tabs>
          <w:tab w:val="left" w:pos="993"/>
        </w:tabs>
        <w:ind w:left="993" w:hanging="426"/>
        <w:jc w:val="both"/>
      </w:pPr>
      <w:r w:rsidRPr="002C4CAC">
        <w:t>ustawie z dnia 11 lipca 2014 r. o zasadach realizacji programów w zakresie polityki spójności finansowanych w pespektywie finansowej 2014-</w:t>
      </w:r>
      <w:r w:rsidRPr="00F94406">
        <w:t>2020 (</w:t>
      </w:r>
      <w:r w:rsidRPr="00F94406">
        <w:rPr>
          <w:bCs/>
        </w:rPr>
        <w:t>t.j. Dz. U. z 201</w:t>
      </w:r>
      <w:r w:rsidR="00B92226">
        <w:rPr>
          <w:bCs/>
        </w:rPr>
        <w:t>7</w:t>
      </w:r>
      <w:r w:rsidRPr="00F94406">
        <w:rPr>
          <w:bCs/>
        </w:rPr>
        <w:t xml:space="preserve"> r. poz. </w:t>
      </w:r>
      <w:r w:rsidR="00B92226">
        <w:rPr>
          <w:bCs/>
        </w:rPr>
        <w:t>1460</w:t>
      </w:r>
      <w:r w:rsidR="00A52876">
        <w:rPr>
          <w:bCs/>
        </w:rPr>
        <w:t>,</w:t>
      </w:r>
      <w:r w:rsidRPr="00F94406">
        <w:rPr>
          <w:bCs/>
        </w:rPr>
        <w:t xml:space="preserve"> </w:t>
      </w:r>
      <w:r w:rsidR="00B92226">
        <w:rPr>
          <w:bCs/>
        </w:rPr>
        <w:t>z</w:t>
      </w:r>
      <w:r w:rsidR="00A52876">
        <w:rPr>
          <w:bCs/>
        </w:rPr>
        <w:t xml:space="preserve"> późn. zm.</w:t>
      </w:r>
      <w:r w:rsidR="00B92226">
        <w:rPr>
          <w:bCs/>
        </w:rPr>
        <w:t>)</w:t>
      </w:r>
    </w:p>
    <w:p w:rsidR="00B92226" w:rsidRPr="002C4CAC" w:rsidRDefault="00F225AB" w:rsidP="00A52876">
      <w:pPr>
        <w:pStyle w:val="Akapitzlist"/>
        <w:numPr>
          <w:ilvl w:val="0"/>
          <w:numId w:val="5"/>
        </w:numPr>
        <w:tabs>
          <w:tab w:val="left" w:pos="993"/>
        </w:tabs>
        <w:ind w:left="993" w:hanging="426"/>
        <w:jc w:val="both"/>
      </w:pPr>
      <w:r w:rsidRPr="002C4CAC">
        <w:rPr>
          <w:i/>
        </w:rPr>
        <w:lastRenderedPageBreak/>
        <w:t xml:space="preserve">Regionalnym Programie Operacyjnym Województwa Warmińsko-Mazurskiego na lata 2014-2020 </w:t>
      </w:r>
      <w:r w:rsidRPr="002C4CAC">
        <w:t xml:space="preserve">(Uchwała Nr 16/150/15/V Zarządu Województwa  Warmińsko-Mazurskiego </w:t>
      </w:r>
      <w:r w:rsidRPr="002C4CAC">
        <w:br/>
        <w:t>z dnia 24 marca 2015 r.)</w:t>
      </w:r>
      <w:r w:rsidR="00A52876">
        <w:t xml:space="preserve"> wraz ze zmianami wynikającymi z przeprowadzonego w 2017 r. reprogramowania</w:t>
      </w:r>
      <w:r w:rsidRPr="002C4CAC">
        <w:t>;</w:t>
      </w:r>
    </w:p>
    <w:p w:rsidR="00F225AB" w:rsidRPr="002C4CAC" w:rsidRDefault="00F225AB" w:rsidP="00E31F33">
      <w:pPr>
        <w:pStyle w:val="Akapitzlist"/>
        <w:numPr>
          <w:ilvl w:val="0"/>
          <w:numId w:val="5"/>
        </w:numPr>
        <w:tabs>
          <w:tab w:val="left" w:pos="993"/>
        </w:tabs>
        <w:ind w:left="993" w:hanging="426"/>
        <w:jc w:val="both"/>
      </w:pPr>
      <w:r w:rsidRPr="002C4CAC">
        <w:t>Wytycznych Ministra Infrastruktury i Rozwoju z 3</w:t>
      </w:r>
      <w:r w:rsidR="00B92226">
        <w:t>0</w:t>
      </w:r>
      <w:r w:rsidRPr="002C4CAC">
        <w:t xml:space="preserve"> marca 201</w:t>
      </w:r>
      <w:r w:rsidR="00B92226">
        <w:t>7</w:t>
      </w:r>
      <w:r w:rsidRPr="002C4CAC">
        <w:t xml:space="preserve"> r. w zakresie trybów wyboru projektów na lata 2014-2020.</w:t>
      </w:r>
    </w:p>
    <w:p w:rsidR="00F225AB" w:rsidRPr="002C4CAC" w:rsidRDefault="00F225AB" w:rsidP="006E461D">
      <w:pPr>
        <w:pStyle w:val="Akapitzlist"/>
        <w:numPr>
          <w:ilvl w:val="0"/>
          <w:numId w:val="5"/>
        </w:numPr>
        <w:tabs>
          <w:tab w:val="left" w:pos="993"/>
        </w:tabs>
        <w:ind w:left="993" w:hanging="426"/>
        <w:jc w:val="both"/>
      </w:pPr>
      <w:r w:rsidRPr="002C4CAC">
        <w:t>piśmie Departamentu Koordynacji Strategii i Polityk Rozwoju w Ministerstwie Infrastruktury i Rozwoju z dnia 25 lutego 2014 r. w sprawie indywidualnych projektów kluczowych/projektów wybieranych w trybie pozakonkursowym, znak DKS-IX-82616-8-BG/14.</w:t>
      </w:r>
    </w:p>
    <w:p w:rsidR="00F225AB" w:rsidRPr="002C4CAC" w:rsidRDefault="00F225AB" w:rsidP="006E461D">
      <w:pPr>
        <w:pStyle w:val="Akapitzlist"/>
        <w:tabs>
          <w:tab w:val="left" w:pos="993"/>
        </w:tabs>
        <w:ind w:left="993"/>
        <w:jc w:val="both"/>
      </w:pPr>
    </w:p>
    <w:p w:rsidR="00F225AB" w:rsidRPr="002C4CAC" w:rsidRDefault="00F225AB" w:rsidP="00340EB8">
      <w:pPr>
        <w:pStyle w:val="Akapitzlist"/>
        <w:numPr>
          <w:ilvl w:val="0"/>
          <w:numId w:val="1"/>
        </w:numPr>
        <w:ind w:left="284" w:hanging="284"/>
        <w:jc w:val="both"/>
        <w:rPr>
          <w:b/>
          <w:sz w:val="24"/>
          <w:szCs w:val="24"/>
        </w:rPr>
      </w:pPr>
      <w:r w:rsidRPr="002C4CAC">
        <w:rPr>
          <w:b/>
          <w:sz w:val="24"/>
          <w:szCs w:val="24"/>
        </w:rPr>
        <w:t>Ogólne zasady określające kryteria zastosowania pozakonkursowego trybu wyboru projektów</w:t>
      </w:r>
    </w:p>
    <w:p w:rsidR="00F225AB" w:rsidRPr="002C4CAC" w:rsidRDefault="00F225AB" w:rsidP="00F8508D">
      <w:pPr>
        <w:pStyle w:val="Akapitzlist"/>
        <w:ind w:left="284"/>
        <w:jc w:val="both"/>
        <w:rPr>
          <w:b/>
          <w:sz w:val="10"/>
          <w:szCs w:val="10"/>
        </w:rPr>
      </w:pPr>
    </w:p>
    <w:p w:rsidR="00F225AB" w:rsidRPr="002C4CAC" w:rsidRDefault="00F225AB" w:rsidP="00956C2B">
      <w:pPr>
        <w:pStyle w:val="Akapitzlist"/>
        <w:ind w:left="284"/>
        <w:jc w:val="both"/>
      </w:pPr>
      <w:r w:rsidRPr="002C4CAC">
        <w:t>Podstawowym trybem wyboru projektów do dofinansowania jest tryb konkursowy. Stosowanie trybu pozakonkursowego w perspektywie finansowej EU 2014-2020 jest ograniczone do uzasadnionych sytuacji, które czynią tryb konkursowy nieefektywnym lub niemożliwym do zastosowania. Ogólne zasady określające kryteria decydujące o zastosowaniu pozakonkursowego trybu wyboru projektów to:</w:t>
      </w:r>
    </w:p>
    <w:p w:rsidR="00F225AB" w:rsidRPr="002C4CAC" w:rsidRDefault="00F225AB" w:rsidP="00450B85">
      <w:pPr>
        <w:pStyle w:val="Akapitzlist"/>
        <w:ind w:left="284"/>
        <w:jc w:val="both"/>
        <w:rPr>
          <w:sz w:val="10"/>
          <w:szCs w:val="10"/>
        </w:rPr>
      </w:pPr>
    </w:p>
    <w:p w:rsidR="00F225AB" w:rsidRPr="002C4CAC" w:rsidRDefault="00F225AB" w:rsidP="006E461D">
      <w:pPr>
        <w:pStyle w:val="Akapitzlist"/>
        <w:numPr>
          <w:ilvl w:val="0"/>
          <w:numId w:val="4"/>
        </w:numPr>
        <w:spacing w:after="120"/>
        <w:ind w:left="992" w:hanging="425"/>
        <w:contextualSpacing w:val="0"/>
        <w:jc w:val="both"/>
        <w:rPr>
          <w:i/>
        </w:rPr>
      </w:pPr>
      <w:r w:rsidRPr="002C4CAC">
        <w:t xml:space="preserve">uprzednie, bezpośrednie zidentyfikowanie konkretnych projektów w transparentny sposób – wskazanych  bezpośrednio w obowiązujących dokumentach </w:t>
      </w:r>
      <w:r w:rsidR="00404B3C">
        <w:t xml:space="preserve">strategicznych </w:t>
      </w:r>
      <w:r w:rsidR="00404B3C">
        <w:br/>
      </w:r>
      <w:r w:rsidRPr="002C4CAC">
        <w:t xml:space="preserve">a także wynikających z nich dokumentach implementacyjnych oraz kontrakcie terytorialnym (w trybie pozakonkursowym mogą być wybierane wyłącznie projekty </w:t>
      </w:r>
      <w:r w:rsidRPr="002C4CAC">
        <w:br/>
        <w:t>o strategicznym znaczeniu dla społeczno-gospodarczego rozwoju kraju, regionu lub obszaru objętego realizacją ZIT, lub projekty dotyczące realizacji zadań publicznych);</w:t>
      </w:r>
    </w:p>
    <w:p w:rsidR="00F225AB" w:rsidRPr="002C4CAC" w:rsidRDefault="00F225AB" w:rsidP="00956C2B">
      <w:pPr>
        <w:pStyle w:val="Akapitzlist"/>
        <w:numPr>
          <w:ilvl w:val="0"/>
          <w:numId w:val="4"/>
        </w:numPr>
        <w:ind w:left="993" w:hanging="426"/>
        <w:jc w:val="both"/>
        <w:rPr>
          <w:i/>
        </w:rPr>
      </w:pPr>
      <w:r w:rsidRPr="002C4CAC">
        <w:t xml:space="preserve">występowanie prawnego obowiązku realizacji zadań przez  określony podmiot lub grupę podmiotów, wynikającego z przepisów prawa - monopol kompetencyjny </w:t>
      </w:r>
      <w:r w:rsidR="00404B3C">
        <w:t xml:space="preserve">wnioskodawcy </w:t>
      </w:r>
      <w:r w:rsidR="00404B3C">
        <w:br/>
      </w:r>
      <w:r w:rsidRPr="002C4CAC">
        <w:t>w danym obszarze związany z wykonywaniem zadań publicznych (w szczególności odnosi się to do projektów infrastrukturalnych, w przypadku których występuje jeden beneficjent danego obszaru wsparcia np. PKP PLK czy Zarząd Dróg Wojewódzkich. Nie dochodzi wówczas do konkurowania pomiędzy beneficjentami ubiegającymi się o środki, co czyni bezzasadnym tryb konkursowy), (tryb pozakonkursowy może być zastosowany do wyboru projektów, których wnioskodawcami, ze względu na charakter lub cel projektu, mogą być jedynie podmioty jednoznacznie określone przed złożeniem wniosku o dofinansowanie projektu).</w:t>
      </w:r>
    </w:p>
    <w:p w:rsidR="00F225AB" w:rsidRPr="002C4CAC" w:rsidRDefault="00F225AB" w:rsidP="00956C2B">
      <w:pPr>
        <w:pStyle w:val="Akapitzlist"/>
        <w:ind w:left="993" w:hanging="284"/>
        <w:jc w:val="both"/>
        <w:rPr>
          <w:i/>
          <w:sz w:val="10"/>
          <w:szCs w:val="10"/>
        </w:rPr>
      </w:pPr>
    </w:p>
    <w:p w:rsidR="00F225AB" w:rsidRPr="002C4CAC" w:rsidRDefault="00F225AB" w:rsidP="00956C2B">
      <w:pPr>
        <w:pStyle w:val="Akapitzlist"/>
        <w:ind w:left="284"/>
        <w:jc w:val="both"/>
      </w:pPr>
      <w:r w:rsidRPr="002C4CAC">
        <w:t xml:space="preserve">Wszystkie projekty muszą być kwalifikowalne w świetle treści danego programu operacyjnego </w:t>
      </w:r>
      <w:r w:rsidRPr="002C4CAC">
        <w:br/>
        <w:t xml:space="preserve">a wnioskodawcy spełnić kryteria formalne i merytoryczne, zatwierdzone przez komitet monitorujący program operacyjny. Kryteria te zagwarantują, że wybrane do realizacji </w:t>
      </w:r>
      <w:r w:rsidR="00404B3C">
        <w:t xml:space="preserve">projekty </w:t>
      </w:r>
      <w:r w:rsidR="00404B3C">
        <w:br/>
      </w:r>
      <w:r w:rsidRPr="002C4CAC">
        <w:t>w największym stopniu przyczynią się do osiągania celów i wskaźników programu.</w:t>
      </w:r>
    </w:p>
    <w:p w:rsidR="00F225AB" w:rsidRPr="002C4CAC" w:rsidRDefault="00F225AB" w:rsidP="00956C2B">
      <w:pPr>
        <w:pStyle w:val="Akapitzlist"/>
        <w:ind w:left="284"/>
        <w:jc w:val="both"/>
        <w:rPr>
          <w:sz w:val="10"/>
          <w:szCs w:val="10"/>
        </w:rPr>
      </w:pPr>
    </w:p>
    <w:p w:rsidR="00F225AB" w:rsidRPr="002C4CAC" w:rsidRDefault="00F225AB" w:rsidP="00956C2B">
      <w:pPr>
        <w:pStyle w:val="Akapitzlist"/>
        <w:ind w:left="284"/>
        <w:jc w:val="both"/>
      </w:pPr>
      <w:r w:rsidRPr="002C4CAC">
        <w:t>Projektami pozakonkursowymi będą przede wszystkim:</w:t>
      </w:r>
    </w:p>
    <w:p w:rsidR="00F225AB" w:rsidRDefault="00F225AB" w:rsidP="00D51068">
      <w:pPr>
        <w:pStyle w:val="Akapitzlist"/>
        <w:numPr>
          <w:ilvl w:val="0"/>
          <w:numId w:val="29"/>
        </w:numPr>
        <w:jc w:val="both"/>
      </w:pPr>
      <w:r w:rsidRPr="002C4CAC">
        <w:t>projekty pomocy technicznej;</w:t>
      </w:r>
    </w:p>
    <w:p w:rsidR="00F225AB" w:rsidRDefault="00F225AB" w:rsidP="00D51068">
      <w:pPr>
        <w:pStyle w:val="Akapitzlist"/>
        <w:numPr>
          <w:ilvl w:val="0"/>
          <w:numId w:val="29"/>
        </w:numPr>
        <w:jc w:val="both"/>
      </w:pPr>
      <w:r w:rsidRPr="002C4CAC">
        <w:t xml:space="preserve">wybrane projekty finansowane z Europejskiego Funduszu Społecznego (zastosowanie trybu pozakonkursowego ogranicza się do realizacji lub koordynacji zadań określonych </w:t>
      </w:r>
      <w:r w:rsidRPr="002C4CAC">
        <w:br/>
        <w:t xml:space="preserve">w przepisach prawnych mających zastosowanie do danego podmiotu lub grupy podmiotów </w:t>
      </w:r>
      <w:r w:rsidRPr="002C4CAC">
        <w:lastRenderedPageBreak/>
        <w:t>lub, w przypadku RPO, projektów o charakterze wdrożeniowym obejmujących świadczenie usług m.in. rynku pracy, integracji społeczn</w:t>
      </w:r>
      <w:r w:rsidR="00404B3C">
        <w:t>o-zawodowej</w:t>
      </w:r>
      <w:r w:rsidRPr="002C4CAC">
        <w:t>, edukacji na rzecz ostatecznych odbiorców wsparcia);</w:t>
      </w:r>
    </w:p>
    <w:p w:rsidR="00F225AB" w:rsidRDefault="00F225AB" w:rsidP="00D51068">
      <w:pPr>
        <w:pStyle w:val="Akapitzlist"/>
        <w:numPr>
          <w:ilvl w:val="0"/>
          <w:numId w:val="29"/>
        </w:numPr>
        <w:jc w:val="both"/>
      </w:pPr>
      <w:r>
        <w:t xml:space="preserve">projekty w zakresie wdrażania instrumentów finansowych zgodne ze </w:t>
      </w:r>
      <w:r w:rsidRPr="00D51068">
        <w:rPr>
          <w:i/>
        </w:rPr>
        <w:t>Strategią inwestycyjną dla instrumentów finansowych w ramach Regionalnego Programu Operacyjnego Województwa warmińsko-Mazurskiego na lata 2014-2020</w:t>
      </w:r>
      <w:r>
        <w:t>;</w:t>
      </w:r>
    </w:p>
    <w:p w:rsidR="00F225AB" w:rsidRDefault="00F225AB" w:rsidP="00D51068">
      <w:pPr>
        <w:pStyle w:val="Akapitzlist"/>
        <w:numPr>
          <w:ilvl w:val="0"/>
          <w:numId w:val="29"/>
        </w:numPr>
        <w:jc w:val="both"/>
      </w:pPr>
      <w:r w:rsidRPr="002C4CAC">
        <w:t>wybrane projekty realizujące strategię Zintegrowanych Inwestycji Terytorialnych (ZIT);</w:t>
      </w:r>
    </w:p>
    <w:p w:rsidR="00F225AB" w:rsidRPr="002C4CAC" w:rsidRDefault="00F225AB" w:rsidP="00D51068">
      <w:pPr>
        <w:pStyle w:val="Akapitzlist"/>
        <w:numPr>
          <w:ilvl w:val="0"/>
          <w:numId w:val="29"/>
        </w:numPr>
        <w:jc w:val="both"/>
      </w:pPr>
      <w:r w:rsidRPr="002C4CAC">
        <w:t>projekty uzgodnione w ramach kontraktu terytorialnego lub analogicznych rozwiązań funkcjonujących na poziomie regionalnym;</w:t>
      </w:r>
    </w:p>
    <w:p w:rsidR="00F225AB" w:rsidRPr="002C4CAC" w:rsidRDefault="00F225AB" w:rsidP="00956C2B">
      <w:pPr>
        <w:pStyle w:val="Akapitzlist"/>
        <w:ind w:left="284"/>
        <w:jc w:val="both"/>
        <w:rPr>
          <w:sz w:val="24"/>
          <w:szCs w:val="24"/>
        </w:rPr>
      </w:pPr>
      <w:r w:rsidRPr="002C4CAC">
        <w:t xml:space="preserve">przy czym dwie ostatnie kategorie wymagają konsensusu między wszystkimi </w:t>
      </w:r>
      <w:r w:rsidR="00404B3C">
        <w:t xml:space="preserve">zaangażowanymi </w:t>
      </w:r>
      <w:r w:rsidR="00404B3C">
        <w:br/>
      </w:r>
      <w:r w:rsidRPr="002C4CAC">
        <w:t xml:space="preserve">w realizację strategii ZIT lub kontraktu terytorialnego podmiotami, co oznacza że wyłaniane </w:t>
      </w:r>
      <w:r w:rsidR="00B73B02">
        <w:br/>
      </w:r>
      <w:r w:rsidRPr="002C4CAC">
        <w:t>są w tzw. trybie pozakonkursowym negocjacyjnym</w:t>
      </w:r>
      <w:r w:rsidRPr="002C4CAC">
        <w:rPr>
          <w:sz w:val="24"/>
          <w:szCs w:val="24"/>
        </w:rPr>
        <w:t>.</w:t>
      </w:r>
    </w:p>
    <w:p w:rsidR="00F225AB" w:rsidRPr="002C4CAC" w:rsidRDefault="00F225AB" w:rsidP="00251FCB">
      <w:pPr>
        <w:pStyle w:val="Akapitzlist"/>
        <w:ind w:left="0"/>
        <w:jc w:val="both"/>
        <w:rPr>
          <w:sz w:val="10"/>
          <w:szCs w:val="10"/>
        </w:rPr>
      </w:pPr>
    </w:p>
    <w:p w:rsidR="00F225AB" w:rsidRPr="002C4CAC" w:rsidRDefault="00F225AB" w:rsidP="00956C2B">
      <w:pPr>
        <w:pStyle w:val="Akapitzlist"/>
        <w:ind w:left="284"/>
        <w:jc w:val="both"/>
      </w:pPr>
      <w:r w:rsidRPr="002C4CAC">
        <w:t>Projekty do nich komplementarne (przede wszystkim w ramach priorytetów inwestycyjnych 4c;  4e; 7b), pozytywnie zaopiniowane w ramach Strategii ZIT przez właściwą instytucję zarządzającą programem oraz ministra właściwego ds. rozwoju regionalnego mo</w:t>
      </w:r>
      <w:r w:rsidR="00404B3C">
        <w:t>gą otrzymać preferencje</w:t>
      </w:r>
      <w:r w:rsidR="00B73B02">
        <w:br/>
      </w:r>
      <w:r w:rsidRPr="002C4CAC">
        <w:t xml:space="preserve"> w procesie wyboru konkursowego m.in. poprzez:</w:t>
      </w:r>
    </w:p>
    <w:p w:rsidR="00F225AB" w:rsidRDefault="00F225AB" w:rsidP="00D51068">
      <w:pPr>
        <w:pStyle w:val="Akapitzlist"/>
        <w:numPr>
          <w:ilvl w:val="0"/>
          <w:numId w:val="30"/>
        </w:numPr>
        <w:tabs>
          <w:tab w:val="left" w:pos="851"/>
        </w:tabs>
        <w:ind w:left="851"/>
        <w:jc w:val="both"/>
      </w:pPr>
      <w:r w:rsidRPr="002C4CAC">
        <w:t>zamieszczenie w kryteriach wyboru projektów preferencji dla projektów komplementarnych, wynikających ze strategii ZIT;</w:t>
      </w:r>
    </w:p>
    <w:p w:rsidR="00F225AB" w:rsidRPr="002C4CAC" w:rsidRDefault="00F225AB" w:rsidP="00D51068">
      <w:pPr>
        <w:pStyle w:val="Akapitzlist"/>
        <w:numPr>
          <w:ilvl w:val="0"/>
          <w:numId w:val="30"/>
        </w:numPr>
        <w:tabs>
          <w:tab w:val="left" w:pos="851"/>
        </w:tabs>
        <w:ind w:left="851"/>
        <w:jc w:val="both"/>
      </w:pPr>
      <w:r w:rsidRPr="002C4CAC">
        <w:t>wprowadzenie ścieżki negocjacyjnej w ramach trybu wyboru projektów pozakonkursowych dla danego programu operacyjnego (w przypadku programu krajowego potwierdzonych postanowieniami kontraktu terytorialnego dla danego województwa).</w:t>
      </w:r>
    </w:p>
    <w:p w:rsidR="00F225AB" w:rsidRPr="002C4CAC" w:rsidRDefault="00F225AB" w:rsidP="00BA3182">
      <w:pPr>
        <w:pStyle w:val="Akapitzlist"/>
        <w:ind w:left="284"/>
        <w:contextualSpacing w:val="0"/>
        <w:jc w:val="both"/>
      </w:pPr>
      <w:r w:rsidRPr="002C4CAC">
        <w:t xml:space="preserve">Powyżej sformułowane ogólne zasady sprawiają, że tradycyjnie rozumiany nabór projektów </w:t>
      </w:r>
      <w:r w:rsidR="00B73B02">
        <w:br/>
      </w:r>
      <w:r w:rsidRPr="002C4CAC">
        <w:t>do realizacji w trybie pozakonkursowym w ramach programów operacyjnych, współfinansowanych przez fundusze strukturalne w rozpoczętej już perspektywie finansowej UE jest bezzasadny i nieefektywny.</w:t>
      </w:r>
    </w:p>
    <w:p w:rsidR="00F225AB" w:rsidRPr="002C4CAC" w:rsidRDefault="00F225AB" w:rsidP="00BA3182">
      <w:pPr>
        <w:pStyle w:val="Akapitzlist"/>
        <w:spacing w:after="120"/>
        <w:ind w:left="284"/>
        <w:contextualSpacing w:val="0"/>
        <w:jc w:val="both"/>
      </w:pPr>
      <w:r w:rsidRPr="002C4CAC">
        <w:t>Według Wytycznych Ministra Infrastruktury i Rozwoju w zakresie trybów wyboru projektów na lata 2014-2020 wybór projektu w trybie pozakonkursowym obejmuje:</w:t>
      </w:r>
    </w:p>
    <w:p w:rsidR="00F225AB" w:rsidRPr="002C4CAC" w:rsidRDefault="00F225AB" w:rsidP="003A3927">
      <w:pPr>
        <w:pStyle w:val="Akapitzlist"/>
        <w:numPr>
          <w:ilvl w:val="0"/>
          <w:numId w:val="16"/>
        </w:numPr>
        <w:spacing w:after="120"/>
        <w:contextualSpacing w:val="0"/>
        <w:jc w:val="both"/>
      </w:pPr>
      <w:r w:rsidRPr="002C4CAC">
        <w:t>zgłoszenie projektu,</w:t>
      </w:r>
    </w:p>
    <w:p w:rsidR="00F225AB" w:rsidRPr="002C4CAC" w:rsidRDefault="00F225AB" w:rsidP="003A3927">
      <w:pPr>
        <w:pStyle w:val="Akapitzlist"/>
        <w:numPr>
          <w:ilvl w:val="0"/>
          <w:numId w:val="16"/>
        </w:numPr>
        <w:spacing w:after="120"/>
        <w:contextualSpacing w:val="0"/>
        <w:jc w:val="both"/>
      </w:pPr>
      <w:r w:rsidRPr="002C4CAC">
        <w:t>identyfikację projektu,</w:t>
      </w:r>
    </w:p>
    <w:p w:rsidR="00F225AB" w:rsidRPr="002C4CAC" w:rsidRDefault="00F225AB" w:rsidP="003A3927">
      <w:pPr>
        <w:pStyle w:val="Akapitzlist"/>
        <w:numPr>
          <w:ilvl w:val="0"/>
          <w:numId w:val="16"/>
        </w:numPr>
        <w:spacing w:after="120"/>
        <w:contextualSpacing w:val="0"/>
        <w:jc w:val="both"/>
      </w:pPr>
      <w:r w:rsidRPr="002C4CAC">
        <w:t>wezwanie do zgłoszenia wniosku o dofinansowanie,</w:t>
      </w:r>
    </w:p>
    <w:p w:rsidR="00F225AB" w:rsidRPr="002C4CAC" w:rsidRDefault="00F225AB" w:rsidP="003A3927">
      <w:pPr>
        <w:pStyle w:val="Akapitzlist"/>
        <w:numPr>
          <w:ilvl w:val="0"/>
          <w:numId w:val="16"/>
        </w:numPr>
        <w:spacing w:after="120"/>
        <w:contextualSpacing w:val="0"/>
        <w:jc w:val="both"/>
      </w:pPr>
      <w:r w:rsidRPr="002C4CAC">
        <w:t>ocenę projektu,</w:t>
      </w:r>
    </w:p>
    <w:p w:rsidR="00F225AB" w:rsidRPr="002C4CAC" w:rsidRDefault="00F225AB" w:rsidP="003A3927">
      <w:pPr>
        <w:pStyle w:val="Akapitzlist"/>
        <w:numPr>
          <w:ilvl w:val="0"/>
          <w:numId w:val="16"/>
        </w:numPr>
        <w:spacing w:after="120"/>
        <w:contextualSpacing w:val="0"/>
        <w:jc w:val="both"/>
      </w:pPr>
      <w:r w:rsidRPr="002C4CAC">
        <w:t>rozstrzygnięcie w zakresie wyboru projektu do dofinansowania.</w:t>
      </w:r>
    </w:p>
    <w:p w:rsidR="00F225AB" w:rsidRPr="002C4CAC" w:rsidRDefault="00F225AB" w:rsidP="008545A9">
      <w:pPr>
        <w:spacing w:after="120"/>
        <w:ind w:left="284"/>
        <w:jc w:val="both"/>
      </w:pPr>
      <w:r w:rsidRPr="002C4CAC">
        <w:t xml:space="preserve">W przypadku RPO WiM 2014-2020 za zgłoszone uznaje się projekty wskazane w </w:t>
      </w:r>
      <w:r w:rsidRPr="002C4CAC">
        <w:rPr>
          <w:i/>
        </w:rPr>
        <w:t>Strategii rozwoju społeczno-gospodarczego województwa warmińsko-mazurskiego do roku 2025</w:t>
      </w:r>
      <w:r w:rsidR="00404B3C">
        <w:t xml:space="preserve"> oraz strategii ZIT </w:t>
      </w:r>
      <w:r w:rsidRPr="002C4CAC">
        <w:t xml:space="preserve">odpowiadające zakresowi RPO WiM 2014-2020, dokumentach wynikających z warunkowości </w:t>
      </w:r>
      <w:r w:rsidRPr="002C4CAC">
        <w:br/>
        <w:t xml:space="preserve">ex-ante oraz przedsięwzięcia priorytetowe wskazane w projekcie kontraktu terytorialnego, </w:t>
      </w:r>
      <w:r w:rsidRPr="002C4CAC">
        <w:br/>
        <w:t xml:space="preserve">o którym mowa w art. 14o ust. 1 ustawy z dnia 6 grudnia </w:t>
      </w:r>
      <w:r>
        <w:t xml:space="preserve">2006 r. </w:t>
      </w:r>
      <w:r w:rsidRPr="002C4CAC">
        <w:t>o zasadach prowadzenia polityki rozwoju.</w:t>
      </w:r>
    </w:p>
    <w:p w:rsidR="00F225AB" w:rsidRPr="002C4CAC" w:rsidRDefault="00F225AB" w:rsidP="008545A9">
      <w:pPr>
        <w:spacing w:after="120"/>
        <w:ind w:left="284"/>
        <w:jc w:val="both"/>
      </w:pPr>
      <w:r w:rsidRPr="002C4CAC">
        <w:t xml:space="preserve">Za zidentyfikowane uznaje się projekty wskazane w niniejszym dokumencie oraz bezpośrednio </w:t>
      </w:r>
      <w:r w:rsidRPr="002C4CAC">
        <w:br/>
        <w:t>w treści RPO WiM.</w:t>
      </w:r>
    </w:p>
    <w:p w:rsidR="00F225AB" w:rsidRPr="002C4CAC" w:rsidRDefault="00F225AB" w:rsidP="00D51068">
      <w:pPr>
        <w:spacing w:after="120"/>
        <w:ind w:left="284"/>
        <w:jc w:val="both"/>
      </w:pPr>
      <w:r w:rsidRPr="002C4CAC">
        <w:lastRenderedPageBreak/>
        <w:t>Zidentyfikowanie projektów skutkuje objęciem ich Wykazem projektów zidentyfikowanych przez Instytucję Zarządzającą RPO WiM 2014-2020 w ramach trybu pozakonkursowego stanowiącym załącznik do Szczegółowych opisów osi priorytetowych Programu.</w:t>
      </w:r>
    </w:p>
    <w:p w:rsidR="00F225AB" w:rsidRPr="002C4CAC" w:rsidRDefault="00F225AB" w:rsidP="00534064">
      <w:pPr>
        <w:pStyle w:val="Akapitzlist"/>
        <w:ind w:left="284"/>
        <w:jc w:val="both"/>
        <w:rPr>
          <w:sz w:val="10"/>
          <w:szCs w:val="10"/>
        </w:rPr>
      </w:pPr>
    </w:p>
    <w:p w:rsidR="00F225AB" w:rsidRPr="002C4CAC" w:rsidRDefault="00F225AB" w:rsidP="00340EB8">
      <w:pPr>
        <w:pStyle w:val="Akapitzlist"/>
        <w:numPr>
          <w:ilvl w:val="0"/>
          <w:numId w:val="1"/>
        </w:numPr>
        <w:ind w:left="284" w:hanging="284"/>
        <w:jc w:val="both"/>
        <w:rPr>
          <w:b/>
          <w:sz w:val="24"/>
          <w:szCs w:val="24"/>
        </w:rPr>
      </w:pPr>
      <w:r w:rsidRPr="002C4CAC">
        <w:rPr>
          <w:b/>
          <w:sz w:val="24"/>
          <w:szCs w:val="24"/>
        </w:rPr>
        <w:t>Projekty pozakonkursowe w RPO WiM 2014-2020</w:t>
      </w:r>
    </w:p>
    <w:p w:rsidR="00F225AB" w:rsidRPr="002C4CAC" w:rsidRDefault="00F225AB" w:rsidP="008D3A47">
      <w:pPr>
        <w:pStyle w:val="Akapitzlist"/>
        <w:ind w:left="284"/>
        <w:jc w:val="both"/>
        <w:rPr>
          <w:b/>
          <w:sz w:val="10"/>
          <w:szCs w:val="10"/>
        </w:rPr>
      </w:pPr>
    </w:p>
    <w:p w:rsidR="00F225AB" w:rsidRPr="002C4CAC" w:rsidRDefault="00F225AB" w:rsidP="003537D8">
      <w:pPr>
        <w:pStyle w:val="Akapitzlist"/>
        <w:ind w:left="284"/>
        <w:jc w:val="both"/>
        <w:rPr>
          <w:b/>
          <w:sz w:val="24"/>
          <w:szCs w:val="24"/>
        </w:rPr>
      </w:pPr>
      <w:r w:rsidRPr="002C4CAC">
        <w:rPr>
          <w:b/>
          <w:sz w:val="24"/>
          <w:szCs w:val="24"/>
        </w:rPr>
        <w:t>Projekty wynikające bezpośrednio z dokumentu strategicznego</w:t>
      </w:r>
    </w:p>
    <w:p w:rsidR="00F225AB" w:rsidRPr="002C4CAC" w:rsidRDefault="00F225AB" w:rsidP="003537D8">
      <w:pPr>
        <w:pStyle w:val="Akapitzlist"/>
        <w:ind w:left="284"/>
        <w:jc w:val="both"/>
        <w:rPr>
          <w:b/>
          <w:sz w:val="10"/>
          <w:szCs w:val="10"/>
        </w:rPr>
      </w:pPr>
    </w:p>
    <w:p w:rsidR="00F225AB" w:rsidRPr="002C4CAC" w:rsidRDefault="00F225AB" w:rsidP="003537D8">
      <w:pPr>
        <w:pStyle w:val="Akapitzlist"/>
        <w:ind w:left="284"/>
        <w:jc w:val="both"/>
        <w:rPr>
          <w:u w:val="single"/>
        </w:rPr>
      </w:pPr>
      <w:r w:rsidRPr="002C4CAC">
        <w:rPr>
          <w:u w:val="single"/>
        </w:rPr>
        <w:t>Ogólny kontekst:</w:t>
      </w:r>
    </w:p>
    <w:p w:rsidR="00F225AB" w:rsidRPr="002C4CAC" w:rsidRDefault="00F225AB" w:rsidP="003537D8">
      <w:pPr>
        <w:pStyle w:val="Akapitzlist"/>
        <w:ind w:left="284"/>
        <w:jc w:val="both"/>
      </w:pPr>
      <w:r w:rsidRPr="002C4CAC">
        <w:t xml:space="preserve">Jednym z głównych narzędzi realizacji strategii rozwoju każdego województwa </w:t>
      </w:r>
      <w:r w:rsidR="00404B3C">
        <w:t xml:space="preserve">samorządowego, </w:t>
      </w:r>
      <w:r w:rsidR="00404B3C">
        <w:br/>
      </w:r>
      <w:r w:rsidRPr="002C4CAC">
        <w:t>w</w:t>
      </w:r>
      <w:r w:rsidR="00404B3C">
        <w:t xml:space="preserve"> </w:t>
      </w:r>
      <w:r w:rsidRPr="002C4CAC">
        <w:t xml:space="preserve"> świetle przepisów ustawy o samorządzie województwa, jest regionalny program operacyjny. Zatem punktem odniesienia dla identyfikacji projektów realizowanych w trybie pozakonkursowym z uwagi na ich strategiczny charakter, w przypadku </w:t>
      </w:r>
      <w:r w:rsidRPr="002C4CAC">
        <w:rPr>
          <w:i/>
        </w:rPr>
        <w:t>Regionalnego Programu Operacyjnego Województwa Warmińsko-Mazurskiego na lata 2014-2020</w:t>
      </w:r>
      <w:r w:rsidRPr="002C4CAC">
        <w:t xml:space="preserve">, jest </w:t>
      </w:r>
      <w:r w:rsidRPr="002C4CAC">
        <w:rPr>
          <w:i/>
        </w:rPr>
        <w:t>Strategia Rozwoju Społeczno-Gospodarczego Województwa Warmińsko-Mazurskiego do roku 2025</w:t>
      </w:r>
      <w:r w:rsidRPr="002C4CAC">
        <w:t xml:space="preserve"> w jej części projekcyjnej, przy czym kwestie najważniejsze – strategiczne – wyartykułowane zostały „imiennie” w opisie celu głównego Strategii: </w:t>
      </w:r>
      <w:r w:rsidRPr="002C4CAC">
        <w:rPr>
          <w:i/>
        </w:rPr>
        <w:t>Spójność ekonomiczna, społeczna i przestrzenna Warmii i Mazur z regionami Europy.</w:t>
      </w:r>
      <w:r w:rsidRPr="002C4CAC">
        <w:t xml:space="preserve"> Jego zawartość dała podstawę Zarządowi Województwa do podjęcia </w:t>
      </w:r>
      <w:r w:rsidR="00404B3C">
        <w:t xml:space="preserve">decyzji </w:t>
      </w:r>
      <w:r w:rsidR="00404B3C">
        <w:br/>
      </w:r>
      <w:r w:rsidRPr="002C4CAC">
        <w:t>o zastosowaniu specjalnego wsparcia w postaci wydzielenia puli środków w budżecie RPO WiM 2014-2020 na realizację Zintegrowanych Inwestycji Terytorialnych na terenie nie tylko miejskiego obszaru funkcjonalnego Olsztyna jako stolicy województwa warmińsko-mazurskiego ale także  dwóch ośrodków subregionalnych: Elbląga i Ełku.</w:t>
      </w:r>
    </w:p>
    <w:p w:rsidR="00F225AB" w:rsidRPr="002C4CAC" w:rsidRDefault="00F225AB" w:rsidP="003537D8">
      <w:pPr>
        <w:pStyle w:val="Akapitzlist"/>
        <w:ind w:left="284"/>
        <w:jc w:val="both"/>
      </w:pPr>
      <w:r w:rsidRPr="002C4CAC">
        <w:t xml:space="preserve">W świetle treści celu głównego specjalne znaczenie przyznano także powstającym w regionie formom współpracy miast np. sieć CITTASLOW, sieć Mazurskich Pereł, sieć uzdrowisk oraz inicjatywie rozwojowej EGO a także portowi w Elblągu. Spośród tych inicjatyw współpracę nawiązały trzy, tj. CITTASLOW, Mazurskie Perły (jednostki samorządu terytorialnego zlokalizowane wokół Wielkich Jezior Mazurskich) oraz EGO (Ełk, Gołdap, Olecko). Nie powstała jeszcze sieć uzdrowisk (Gołdap posiada status uzdrowiska a miasta: Frombork, Lidzbark </w:t>
      </w:r>
      <w:r w:rsidRPr="0083037D">
        <w:t>Warmiński, Miłomłyn</w:t>
      </w:r>
      <w:r>
        <w:t xml:space="preserve"> oraz Górowo Iławeckie</w:t>
      </w:r>
      <w:r w:rsidRPr="002C4CAC">
        <w:t xml:space="preserve"> znajdują się dopiero na ścieżce do jego pozyskania). </w:t>
      </w:r>
    </w:p>
    <w:p w:rsidR="00F225AB" w:rsidRPr="002C4CAC" w:rsidRDefault="00F225AB" w:rsidP="003537D8">
      <w:pPr>
        <w:pStyle w:val="Akapitzlist"/>
        <w:ind w:left="284"/>
        <w:jc w:val="both"/>
        <w:rPr>
          <w:sz w:val="10"/>
          <w:szCs w:val="10"/>
        </w:rPr>
      </w:pPr>
    </w:p>
    <w:p w:rsidR="00F225AB" w:rsidRPr="002C4CAC" w:rsidRDefault="00F225AB">
      <w:pPr>
        <w:pStyle w:val="Akapitzlist"/>
        <w:ind w:left="284"/>
        <w:jc w:val="both"/>
        <w:rPr>
          <w:u w:val="single"/>
        </w:rPr>
      </w:pPr>
      <w:r w:rsidRPr="002C4CAC">
        <w:rPr>
          <w:u w:val="single"/>
        </w:rPr>
        <w:t>Indykatywna lista projektów pozakonkursowych:</w:t>
      </w:r>
    </w:p>
    <w:p w:rsidR="00F225AB" w:rsidRPr="002C4CAC" w:rsidRDefault="00F225AB">
      <w:pPr>
        <w:pStyle w:val="Akapitzlist"/>
        <w:ind w:left="284"/>
        <w:jc w:val="both"/>
        <w:rPr>
          <w:sz w:val="10"/>
          <w:szCs w:val="10"/>
          <w:u w:val="single"/>
        </w:rPr>
      </w:pPr>
    </w:p>
    <w:p w:rsidR="00F225AB" w:rsidRPr="002C4CAC" w:rsidRDefault="00F225AB">
      <w:pPr>
        <w:pStyle w:val="Akapitzlist"/>
        <w:ind w:left="284"/>
        <w:jc w:val="both"/>
      </w:pPr>
      <w:r w:rsidRPr="002C4CAC">
        <w:t xml:space="preserve">Mazurskie Perły nawiązały partnerstwo finalizując je porozumieniem o współpracy, przygotowały dokument </w:t>
      </w:r>
      <w:r w:rsidRPr="002C4CAC">
        <w:rPr>
          <w:i/>
        </w:rPr>
        <w:t>„Wielkie Jeziora Mazurskie – Strategia”</w:t>
      </w:r>
      <w:r w:rsidRPr="002C4CAC">
        <w:t xml:space="preserve">, przedkładając go wraz z </w:t>
      </w:r>
      <w:r w:rsidR="00404B3C">
        <w:t xml:space="preserve">wnioskiem </w:t>
      </w:r>
      <w:r w:rsidR="00404B3C">
        <w:br/>
      </w:r>
      <w:r w:rsidRPr="002C4CAC">
        <w:t>o przyznanie najistotniejszym przedsięwzięciom statusu projektów realizowanych jako strategiczne w trybie pozakonkursowym. Są to:</w:t>
      </w:r>
    </w:p>
    <w:p w:rsidR="00F225AB" w:rsidRPr="002C4CAC" w:rsidRDefault="00F225AB" w:rsidP="00BB2B79">
      <w:pPr>
        <w:pStyle w:val="Akapitzlist"/>
        <w:numPr>
          <w:ilvl w:val="0"/>
          <w:numId w:val="13"/>
        </w:numPr>
        <w:ind w:left="851" w:hanging="425"/>
        <w:jc w:val="both"/>
      </w:pPr>
      <w:r w:rsidRPr="002C4CAC">
        <w:t>Mazurska Pętla Rowerowa;</w:t>
      </w:r>
    </w:p>
    <w:p w:rsidR="00F225AB" w:rsidRPr="002C4CAC" w:rsidRDefault="00F225AB" w:rsidP="00CB5A7D">
      <w:pPr>
        <w:pStyle w:val="Akapitzlist"/>
        <w:numPr>
          <w:ilvl w:val="0"/>
          <w:numId w:val="13"/>
        </w:numPr>
        <w:ind w:left="851" w:hanging="425"/>
        <w:jc w:val="both"/>
      </w:pPr>
      <w:r w:rsidRPr="002C4CAC">
        <w:t xml:space="preserve">Budowa i przebudowa infrastruktury związanej z rozwojem funkcji gospodarczych na szlakach wodnych Wielkich Jezior Mazurskich wraz z budową śluzy „Guzianka II” </w:t>
      </w:r>
      <w:r w:rsidRPr="002C4CAC">
        <w:br/>
        <w:t>i remontem śluzy „Guzianka I ;</w:t>
      </w:r>
    </w:p>
    <w:p w:rsidR="00F225AB" w:rsidRPr="002C4CAC" w:rsidRDefault="00F225AB" w:rsidP="00BB2B79">
      <w:pPr>
        <w:pStyle w:val="Akapitzlist"/>
        <w:numPr>
          <w:ilvl w:val="0"/>
          <w:numId w:val="13"/>
        </w:numPr>
        <w:ind w:left="851" w:hanging="425"/>
        <w:jc w:val="both"/>
      </w:pPr>
      <w:r w:rsidRPr="002C4CAC">
        <w:t>MASTERPLAN dla Wielkich Jezior Mazurskich – ochrona wód powierzchniowych obszaru poprzez rozbudowę i modernizację infrastruktury wodno-ściekowej;</w:t>
      </w:r>
    </w:p>
    <w:p w:rsidR="00F225AB" w:rsidRDefault="00F225AB" w:rsidP="00B95C2D">
      <w:pPr>
        <w:pStyle w:val="Akapitzlist"/>
        <w:numPr>
          <w:ilvl w:val="0"/>
          <w:numId w:val="13"/>
        </w:numPr>
        <w:ind w:left="851" w:hanging="491"/>
        <w:jc w:val="both"/>
      </w:pPr>
      <w:r w:rsidRPr="002C4CAC">
        <w:t>7 cudów Mazur;</w:t>
      </w:r>
    </w:p>
    <w:p w:rsidR="00474E2C" w:rsidRPr="002C4CAC" w:rsidRDefault="00474E2C" w:rsidP="00B95C2D">
      <w:pPr>
        <w:pStyle w:val="Akapitzlist"/>
        <w:numPr>
          <w:ilvl w:val="0"/>
          <w:numId w:val="13"/>
        </w:numPr>
        <w:ind w:left="851" w:hanging="491"/>
        <w:jc w:val="both"/>
      </w:pPr>
      <w:r>
        <w:t>Mazurskie Centrum Ekologii i Krajobrazu w Urwitałcie</w:t>
      </w:r>
      <w:r w:rsidR="00404B3C">
        <w:t>;</w:t>
      </w:r>
    </w:p>
    <w:p w:rsidR="00F225AB" w:rsidRPr="002C4CAC" w:rsidRDefault="00F225AB" w:rsidP="002A4506">
      <w:pPr>
        <w:pStyle w:val="Akapitzlist"/>
        <w:ind w:left="284"/>
        <w:jc w:val="both"/>
      </w:pPr>
      <w:r w:rsidRPr="002C4CAC">
        <w:t>a komplementarne do nich:</w:t>
      </w:r>
    </w:p>
    <w:p w:rsidR="00F225AB" w:rsidRPr="002C4CAC" w:rsidRDefault="00F225AB" w:rsidP="00B95C2D">
      <w:pPr>
        <w:pStyle w:val="Akapitzlist"/>
        <w:numPr>
          <w:ilvl w:val="0"/>
          <w:numId w:val="14"/>
        </w:numPr>
        <w:ind w:left="709" w:hanging="283"/>
        <w:jc w:val="both"/>
      </w:pPr>
      <w:r w:rsidRPr="002C4CAC">
        <w:t xml:space="preserve">  Cyfrowe Mazury;</w:t>
      </w:r>
    </w:p>
    <w:p w:rsidR="00F225AB" w:rsidRPr="002C4CAC" w:rsidRDefault="00F225AB" w:rsidP="00B95C2D">
      <w:pPr>
        <w:pStyle w:val="Akapitzlist"/>
        <w:numPr>
          <w:ilvl w:val="0"/>
          <w:numId w:val="14"/>
        </w:numPr>
        <w:ind w:left="851" w:hanging="425"/>
        <w:jc w:val="both"/>
      </w:pPr>
      <w:r w:rsidRPr="002C4CAC">
        <w:lastRenderedPageBreak/>
        <w:t xml:space="preserve">Podniesienie poziomu bezpieczeństwa osób zagrożonych chorobami zakaźnymi, w szczególności przenoszonymi przez kleszcze, na obszarze WJM oraz podniesienie standardów leczenia chorób zakaźnych poprzez rozbudowę Oddziałów Zakaźnych Szpitali Powiatowych w Giżycku oraz w Piszu w celu poprawy warunków leczenia pacjentów </w:t>
      </w:r>
      <w:r w:rsidR="00404B3C">
        <w:br/>
      </w:r>
      <w:r w:rsidRPr="002C4CAC">
        <w:t>z terenu Wielkich Jezior Mazurskich i całego województwa Warmińsko-Mazurskiego;</w:t>
      </w:r>
    </w:p>
    <w:p w:rsidR="00F225AB" w:rsidRPr="002C4CAC" w:rsidRDefault="00F225AB" w:rsidP="00B95C2D">
      <w:pPr>
        <w:pStyle w:val="Akapitzlist"/>
        <w:numPr>
          <w:ilvl w:val="0"/>
          <w:numId w:val="14"/>
        </w:numPr>
        <w:ind w:left="851" w:hanging="425"/>
        <w:jc w:val="both"/>
      </w:pPr>
      <w:r w:rsidRPr="002C4CAC">
        <w:t>Mazurska szkoła pod żaglami</w:t>
      </w:r>
    </w:p>
    <w:p w:rsidR="00F225AB" w:rsidRPr="002C4CAC" w:rsidRDefault="00F225AB" w:rsidP="002A4506">
      <w:pPr>
        <w:pStyle w:val="Akapitzlist"/>
        <w:ind w:left="284"/>
        <w:jc w:val="both"/>
      </w:pPr>
      <w:r w:rsidRPr="002C4CAC">
        <w:t xml:space="preserve">  otrzymają preferencje w konkursach na wybór projektów.</w:t>
      </w:r>
    </w:p>
    <w:p w:rsidR="00F225AB" w:rsidRPr="002C4CAC" w:rsidRDefault="00F225AB" w:rsidP="002A4506">
      <w:pPr>
        <w:pStyle w:val="Akapitzlist"/>
        <w:ind w:left="284"/>
        <w:jc w:val="both"/>
        <w:rPr>
          <w:sz w:val="10"/>
          <w:szCs w:val="10"/>
        </w:rPr>
      </w:pPr>
    </w:p>
    <w:p w:rsidR="00F225AB" w:rsidRPr="002E4AEE" w:rsidRDefault="00F225AB" w:rsidP="002E4AEE">
      <w:pPr>
        <w:pStyle w:val="Akapitzlist"/>
        <w:ind w:left="284"/>
        <w:contextualSpacing w:val="0"/>
        <w:jc w:val="both"/>
      </w:pPr>
      <w:r w:rsidRPr="002C4CAC">
        <w:t>Sieć miast CITTASLOW (dosłownie: miasta „powolnego życia” − funkcjonują w składzie Międzynarodowej Sieci Miast Dobrego Życia o tej samej nazwie) przygotowała odpowiednio do celów funkcjonowania sieci ponadlokalny „</w:t>
      </w:r>
      <w:r w:rsidRPr="002C4CAC">
        <w:rPr>
          <w:i/>
        </w:rPr>
        <w:t>Program Rewitalizacji Miast CITTASLOW Województwa Warmińsko-Mazurskiego”</w:t>
      </w:r>
      <w:r w:rsidRPr="002C4CAC">
        <w:t xml:space="preserve"> występując o dofinansowanie jego realizacji w trybie pozakonkursowym w ramach RPO WiM 2014-2020. Jednakże lista konkretnych przedsięwzięć </w:t>
      </w:r>
      <w:r w:rsidRPr="002C4CAC">
        <w:br/>
        <w:t xml:space="preserve">i obejmujących je projektów, wynikających z Programu wymaga dalszych uzgodnień </w:t>
      </w:r>
      <w:r w:rsidRPr="002C4CAC">
        <w:br/>
        <w:t>z uczestnikami sieci a możliwość ich dofinansowania w trybie pozakonkursowym będzie wynikiem tych negocjacji.</w:t>
      </w:r>
    </w:p>
    <w:p w:rsidR="00F225AB" w:rsidRPr="002C4CAC" w:rsidRDefault="00F225AB" w:rsidP="002A4506">
      <w:pPr>
        <w:pStyle w:val="Akapitzlist"/>
        <w:ind w:left="284"/>
        <w:jc w:val="both"/>
        <w:rPr>
          <w:b/>
          <w:sz w:val="24"/>
          <w:szCs w:val="24"/>
        </w:rPr>
      </w:pPr>
      <w:r w:rsidRPr="002C4CAC">
        <w:rPr>
          <w:b/>
          <w:sz w:val="24"/>
          <w:szCs w:val="24"/>
        </w:rPr>
        <w:t>Projekty wynikające z monopolu kompetencyjnego</w:t>
      </w:r>
    </w:p>
    <w:p w:rsidR="00F225AB" w:rsidRPr="002C4CAC" w:rsidRDefault="00F225AB" w:rsidP="002A4506">
      <w:pPr>
        <w:pStyle w:val="Akapitzlist"/>
        <w:ind w:left="284"/>
        <w:jc w:val="both"/>
        <w:rPr>
          <w:b/>
          <w:sz w:val="10"/>
          <w:szCs w:val="10"/>
        </w:rPr>
      </w:pPr>
    </w:p>
    <w:p w:rsidR="00F225AB" w:rsidRPr="002C4CAC" w:rsidRDefault="00F225AB" w:rsidP="002A4506">
      <w:pPr>
        <w:pStyle w:val="Akapitzlist"/>
        <w:ind w:left="284"/>
        <w:jc w:val="both"/>
        <w:rPr>
          <w:u w:val="single"/>
        </w:rPr>
      </w:pPr>
      <w:r w:rsidRPr="002C4CAC">
        <w:rPr>
          <w:u w:val="single"/>
        </w:rPr>
        <w:t>Ogólny kontekst</w:t>
      </w:r>
    </w:p>
    <w:p w:rsidR="00F225AB" w:rsidRPr="002C4CAC" w:rsidRDefault="00F225AB" w:rsidP="002A4506">
      <w:pPr>
        <w:pStyle w:val="Akapitzlist"/>
        <w:ind w:left="284"/>
        <w:jc w:val="both"/>
        <w:rPr>
          <w:sz w:val="10"/>
          <w:szCs w:val="10"/>
          <w:u w:val="single"/>
        </w:rPr>
      </w:pPr>
    </w:p>
    <w:p w:rsidR="00F225AB" w:rsidRPr="002C4CAC" w:rsidRDefault="00F225AB" w:rsidP="002A4506">
      <w:pPr>
        <w:pStyle w:val="Akapitzlist"/>
        <w:ind w:left="284"/>
        <w:jc w:val="both"/>
      </w:pPr>
      <w:r w:rsidRPr="002C4CAC">
        <w:t xml:space="preserve">Propozycje większości z poniższej listy projektów ujawnione zostały w procesie formułowania mandatu negocjacyjnego województwa warmińsko-mazurskiego do negocjacji Kontraktu Terytorialnego a część wynika wprost z części projekcyjnej </w:t>
      </w:r>
      <w:r w:rsidRPr="002C4CAC">
        <w:rPr>
          <w:i/>
        </w:rPr>
        <w:t>Strategii Rozwoju Społeczno-Gospodarczego Województwa Warmińsko-Mazurskiego do roku 2025</w:t>
      </w:r>
      <w:r w:rsidRPr="002C4CAC">
        <w:t>.</w:t>
      </w:r>
    </w:p>
    <w:p w:rsidR="00F225AB" w:rsidRPr="002C4CAC" w:rsidRDefault="00F225AB" w:rsidP="002A4506">
      <w:pPr>
        <w:pStyle w:val="Akapitzlist"/>
        <w:ind w:left="284"/>
        <w:jc w:val="both"/>
        <w:rPr>
          <w:b/>
          <w:sz w:val="10"/>
          <w:szCs w:val="10"/>
        </w:rPr>
      </w:pPr>
    </w:p>
    <w:p w:rsidR="00F225AB" w:rsidRPr="002C4CAC" w:rsidRDefault="00F225AB" w:rsidP="00BB2B79">
      <w:pPr>
        <w:pStyle w:val="Akapitzlist"/>
        <w:ind w:left="284"/>
        <w:jc w:val="both"/>
        <w:rPr>
          <w:u w:val="single"/>
        </w:rPr>
      </w:pPr>
      <w:r w:rsidRPr="002C4CAC">
        <w:rPr>
          <w:u w:val="single"/>
        </w:rPr>
        <w:t>Indykatywna lista projektów pozakonkursowych:</w:t>
      </w:r>
    </w:p>
    <w:p w:rsidR="00F225AB" w:rsidRPr="002C4CAC" w:rsidRDefault="00F225AB" w:rsidP="00BB2B79">
      <w:pPr>
        <w:pStyle w:val="Akapitzlist"/>
        <w:ind w:left="284"/>
        <w:jc w:val="both"/>
        <w:rPr>
          <w:sz w:val="10"/>
          <w:szCs w:val="10"/>
          <w:u w:val="single"/>
        </w:rPr>
      </w:pPr>
    </w:p>
    <w:p w:rsidR="00F225AB" w:rsidRPr="002C4CAC" w:rsidRDefault="00F225AB" w:rsidP="00D20F90">
      <w:pPr>
        <w:pStyle w:val="Akapitzlist"/>
        <w:numPr>
          <w:ilvl w:val="0"/>
          <w:numId w:val="9"/>
        </w:numPr>
        <w:ind w:hanging="437"/>
        <w:jc w:val="both"/>
      </w:pPr>
      <w:r w:rsidRPr="002C4CAC">
        <w:t>Modernizacja linii kolejowej Gutkowo-Braniewo – beneficjent PKP PLK;</w:t>
      </w:r>
    </w:p>
    <w:p w:rsidR="00F225AB" w:rsidRPr="002C4CAC" w:rsidRDefault="00F225AB" w:rsidP="00A52876">
      <w:pPr>
        <w:pStyle w:val="Akapitzlist"/>
        <w:numPr>
          <w:ilvl w:val="0"/>
          <w:numId w:val="9"/>
        </w:numPr>
        <w:jc w:val="both"/>
      </w:pPr>
      <w:r w:rsidRPr="002C4CAC">
        <w:t>Budowa i przebudowa infrastruktury związanej z rozwojem funkcji gospodarczych na szlakach wodnych Wielkich Jezior Mazurskich wraz z budową śluzy „Guzianka II”</w:t>
      </w:r>
      <w:r w:rsidR="00404B3C">
        <w:t xml:space="preserve"> </w:t>
      </w:r>
      <w:r w:rsidR="00404B3C">
        <w:br/>
      </w:r>
      <w:r w:rsidRPr="002C4CAC">
        <w:t xml:space="preserve">i remontem śluzy „Guzianka I” – beneficjent Regionalny Zarząd Gospodarki Wodnej </w:t>
      </w:r>
      <w:r w:rsidR="00404B3C">
        <w:br/>
      </w:r>
      <w:r w:rsidRPr="002C4CAC">
        <w:t>w Warszawie</w:t>
      </w:r>
      <w:r w:rsidR="00B92226">
        <w:t xml:space="preserve"> (</w:t>
      </w:r>
      <w:r w:rsidR="00A52876" w:rsidRPr="00A52876">
        <w:t xml:space="preserve">Państwowe Gospodarstwo Wodne </w:t>
      </w:r>
      <w:r w:rsidR="00B92226">
        <w:t>Wody Polskie)</w:t>
      </w:r>
      <w:r w:rsidRPr="002C4CAC">
        <w:t>;</w:t>
      </w:r>
    </w:p>
    <w:p w:rsidR="00F225AB" w:rsidRPr="002C4CAC" w:rsidRDefault="00F225AB" w:rsidP="00CB5A7D">
      <w:pPr>
        <w:pStyle w:val="Akapitzlist"/>
        <w:numPr>
          <w:ilvl w:val="0"/>
          <w:numId w:val="9"/>
        </w:numPr>
        <w:spacing w:after="120"/>
        <w:ind w:hanging="437"/>
        <w:contextualSpacing w:val="0"/>
        <w:jc w:val="both"/>
      </w:pPr>
      <w:r w:rsidRPr="002C4CAC">
        <w:t>Inwestycje na drogach wojewódzkich w ramach dowiązania do sieci TEN-T – beneficjent Zarząd Dróg Wojewódzkich w Olsztynie;</w:t>
      </w:r>
    </w:p>
    <w:p w:rsidR="00F225AB" w:rsidRPr="002C4CAC" w:rsidRDefault="00F225AB" w:rsidP="006E461D">
      <w:pPr>
        <w:pStyle w:val="Akapitzlist"/>
        <w:numPr>
          <w:ilvl w:val="0"/>
          <w:numId w:val="9"/>
        </w:numPr>
        <w:spacing w:after="120"/>
        <w:ind w:hanging="437"/>
        <w:contextualSpacing w:val="0"/>
        <w:jc w:val="both"/>
      </w:pPr>
      <w:r w:rsidRPr="002C4CAC">
        <w:t xml:space="preserve">Budowa drogi dojazdowej do terminala pasażerskiego Portu Lotniczego w Szymanach – beneficjent Gmina Szczytno; </w:t>
      </w:r>
    </w:p>
    <w:p w:rsidR="00F225AB" w:rsidRPr="002C4CAC" w:rsidRDefault="00F225AB" w:rsidP="006E461D">
      <w:pPr>
        <w:pStyle w:val="Akapitzlist"/>
        <w:numPr>
          <w:ilvl w:val="0"/>
          <w:numId w:val="9"/>
        </w:numPr>
        <w:spacing w:after="120"/>
        <w:ind w:hanging="437"/>
        <w:contextualSpacing w:val="0"/>
        <w:jc w:val="both"/>
      </w:pPr>
      <w:r w:rsidRPr="002C4CAC">
        <w:t>Zakup taboru kolejowego dla połączeń wojewódzkich – beneficjent Województwo Warmińsko-Mazurskie</w:t>
      </w:r>
    </w:p>
    <w:p w:rsidR="00F225AB" w:rsidRPr="002C4CAC" w:rsidRDefault="00F225AB" w:rsidP="00CB5A7D">
      <w:pPr>
        <w:pStyle w:val="Akapitzlist"/>
        <w:numPr>
          <w:ilvl w:val="0"/>
          <w:numId w:val="9"/>
        </w:numPr>
        <w:spacing w:after="120"/>
        <w:ind w:hanging="437"/>
        <w:contextualSpacing w:val="0"/>
        <w:jc w:val="both"/>
      </w:pPr>
      <w:r w:rsidRPr="002C4CAC">
        <w:t>Budowa i Wyposażenie Centrum Nauki InnoPolice w Szczytnie – beneficjent Gmina Miejska Szczytno;</w:t>
      </w:r>
    </w:p>
    <w:p w:rsidR="00F225AB" w:rsidRPr="002C4CAC" w:rsidRDefault="00F225AB" w:rsidP="00CB5A7D">
      <w:pPr>
        <w:pStyle w:val="Akapitzlist"/>
        <w:numPr>
          <w:ilvl w:val="0"/>
          <w:numId w:val="9"/>
        </w:numPr>
        <w:spacing w:after="120"/>
        <w:ind w:hanging="437"/>
        <w:contextualSpacing w:val="0"/>
        <w:jc w:val="both"/>
      </w:pPr>
      <w:r w:rsidRPr="002C4CAC">
        <w:t>Projekt dotyczący promocji gospodarczej regionu – beneficjent Województwo Warmińsko-Mazurskie;</w:t>
      </w:r>
    </w:p>
    <w:p w:rsidR="00F225AB" w:rsidRPr="002C4CAC" w:rsidRDefault="00F225AB" w:rsidP="00CB5A7D">
      <w:pPr>
        <w:pStyle w:val="Akapitzlist"/>
        <w:numPr>
          <w:ilvl w:val="0"/>
          <w:numId w:val="9"/>
        </w:numPr>
        <w:spacing w:after="120"/>
        <w:ind w:hanging="437"/>
        <w:contextualSpacing w:val="0"/>
        <w:jc w:val="both"/>
      </w:pPr>
      <w:r w:rsidRPr="002C4CAC">
        <w:t xml:space="preserve">Projekty dotyczące realizacji zadań publicznych w obszarze promocji zatrudnienia </w:t>
      </w:r>
      <w:r w:rsidRPr="002C4CAC">
        <w:br/>
        <w:t>i aktywizacji lokalnego rynku pracy – beneficjenci Powiatowe Urzędy Pracy z terenu województwa warmińsko-mazurskiego;</w:t>
      </w:r>
    </w:p>
    <w:p w:rsidR="00F225AB" w:rsidRDefault="00F225AB" w:rsidP="00404B3C">
      <w:pPr>
        <w:pStyle w:val="Akapitzlist"/>
        <w:numPr>
          <w:ilvl w:val="0"/>
          <w:numId w:val="9"/>
        </w:numPr>
        <w:spacing w:after="120"/>
        <w:ind w:hanging="437"/>
        <w:contextualSpacing w:val="0"/>
        <w:jc w:val="both"/>
      </w:pPr>
      <w:r w:rsidRPr="002C4CAC">
        <w:lastRenderedPageBreak/>
        <w:t>Projekt dotyczący koordynacji ekonomii społecznej w regionie – beneficjent Województwo Warmińsko-Mazurskie (Regionalny Ośrodek Polityki Społecznej w Urzędzie Marszałkowskim Województwa Warmińsko-Mazurskiego w Olsztynie</w:t>
      </w:r>
      <w:r w:rsidR="009F671F">
        <w:t>;</w:t>
      </w:r>
    </w:p>
    <w:p w:rsidR="009F671F" w:rsidRPr="00404B3C" w:rsidRDefault="009F671F" w:rsidP="00404B3C">
      <w:pPr>
        <w:pStyle w:val="Akapitzlist"/>
        <w:numPr>
          <w:ilvl w:val="0"/>
          <w:numId w:val="9"/>
        </w:numPr>
        <w:spacing w:after="120"/>
        <w:ind w:hanging="437"/>
        <w:contextualSpacing w:val="0"/>
        <w:jc w:val="both"/>
      </w:pPr>
      <w:r>
        <w:t xml:space="preserve">Projekty z zakresu usług aktywnej integracji – beneficjenci Ośrodki Pomocy Społecznej </w:t>
      </w:r>
      <w:r w:rsidR="00A52876">
        <w:br/>
      </w:r>
      <w:r>
        <w:t>i Powiatowe Centra Pomocy Rodzinie z terenu województwa warmińsko-mazurskiego.</w:t>
      </w:r>
    </w:p>
    <w:p w:rsidR="00F225AB" w:rsidRPr="002C4CAC" w:rsidRDefault="00F225AB" w:rsidP="00F810AF">
      <w:pPr>
        <w:spacing w:after="120"/>
        <w:ind w:left="425"/>
        <w:jc w:val="both"/>
        <w:rPr>
          <w:b/>
          <w:sz w:val="24"/>
          <w:szCs w:val="24"/>
        </w:rPr>
      </w:pPr>
      <w:r w:rsidRPr="002C4CAC">
        <w:rPr>
          <w:b/>
          <w:sz w:val="24"/>
          <w:szCs w:val="24"/>
        </w:rPr>
        <w:t>Projekty wynegocjowane w ramach strategii ZIT i ZIT” bis</w:t>
      </w:r>
    </w:p>
    <w:p w:rsidR="00F225AB" w:rsidRPr="002C4CAC" w:rsidRDefault="00F225AB" w:rsidP="00343C26">
      <w:pPr>
        <w:pStyle w:val="Akapitzlist"/>
        <w:ind w:left="426"/>
        <w:jc w:val="both"/>
        <w:rPr>
          <w:u w:val="single"/>
        </w:rPr>
      </w:pPr>
      <w:r w:rsidRPr="002C4CAC">
        <w:rPr>
          <w:u w:val="single"/>
        </w:rPr>
        <w:t>Ogólny kontekst</w:t>
      </w:r>
    </w:p>
    <w:p w:rsidR="00F225AB" w:rsidRPr="002C4CAC" w:rsidRDefault="00F225AB" w:rsidP="00343C26">
      <w:pPr>
        <w:pStyle w:val="Akapitzlist"/>
        <w:ind w:left="426"/>
        <w:jc w:val="both"/>
        <w:rPr>
          <w:sz w:val="10"/>
          <w:szCs w:val="10"/>
          <w:u w:val="single"/>
        </w:rPr>
      </w:pPr>
    </w:p>
    <w:p w:rsidR="00F225AB" w:rsidRPr="002C4CAC" w:rsidRDefault="00F225AB" w:rsidP="00F810AF">
      <w:pPr>
        <w:pStyle w:val="Akapitzlist"/>
        <w:spacing w:after="120"/>
        <w:ind w:left="425"/>
        <w:contextualSpacing w:val="0"/>
        <w:jc w:val="both"/>
        <w:rPr>
          <w:iCs/>
        </w:rPr>
      </w:pPr>
      <w:r w:rsidRPr="002C4CAC">
        <w:rPr>
          <w:iCs/>
        </w:rPr>
        <w:t>W RPO WiM 2014-2020 instrument Zintegrowane Inwestycje Terytorialne (ZIT) – w rozumieniu art. 7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 zostanie zastosowany do Olsztyna oraz jego obszaru funkcjonalnego.</w:t>
      </w:r>
    </w:p>
    <w:p w:rsidR="00F225AB" w:rsidRPr="002C4CAC" w:rsidRDefault="00F225AB" w:rsidP="00F810AF">
      <w:pPr>
        <w:pStyle w:val="Akapitzlist"/>
        <w:spacing w:after="120"/>
        <w:ind w:left="425"/>
        <w:contextualSpacing w:val="0"/>
        <w:jc w:val="both"/>
        <w:rPr>
          <w:iCs/>
        </w:rPr>
      </w:pPr>
      <w:r w:rsidRPr="002C4CAC">
        <w:rPr>
          <w:iCs/>
        </w:rPr>
        <w:t>Zarząd Województwa Warmińsko-Mazurskiego zdecydował również o zastosowaniu instrumentu ZIT‘' (bis) w stosunku do Elbląga i Ełku oraz ich obszarów funkcjonalnych.</w:t>
      </w:r>
    </w:p>
    <w:p w:rsidR="00F225AB" w:rsidRPr="00F810AF" w:rsidRDefault="00F225AB" w:rsidP="00F810AF">
      <w:pPr>
        <w:pStyle w:val="Akapitzlist"/>
        <w:spacing w:after="120"/>
        <w:ind w:left="425"/>
        <w:contextualSpacing w:val="0"/>
        <w:jc w:val="both"/>
        <w:rPr>
          <w:rFonts w:asciiTheme="minorHAnsi" w:hAnsiTheme="minorHAnsi"/>
          <w:iCs/>
        </w:rPr>
      </w:pPr>
      <w:r w:rsidRPr="002C4CAC">
        <w:rPr>
          <w:iCs/>
        </w:rPr>
        <w:t xml:space="preserve">Ostatecznie, w drodze negocjacji z Komisją Europejską ustalono, że status projektu pozakonkursowego będzie miał jeden projekt wynikający ze strategii ZIT Olsztyna, </w:t>
      </w:r>
      <w:r w:rsidR="00B73B02">
        <w:rPr>
          <w:iCs/>
        </w:rPr>
        <w:br/>
      </w:r>
      <w:r w:rsidRPr="002C4CAC">
        <w:rPr>
          <w:iCs/>
        </w:rPr>
        <w:t>tj. „Bezpieczny MOF</w:t>
      </w:r>
      <w:r w:rsidRPr="00404B3C">
        <w:rPr>
          <w:rFonts w:asciiTheme="minorHAnsi" w:hAnsiTheme="minorHAnsi"/>
          <w:iCs/>
        </w:rPr>
        <w:t>”</w:t>
      </w:r>
      <w:r w:rsidR="00EA384D">
        <w:rPr>
          <w:rFonts w:asciiTheme="minorHAnsi" w:hAnsiTheme="minorHAnsi"/>
          <w:iCs/>
        </w:rPr>
        <w:t>.</w:t>
      </w:r>
    </w:p>
    <w:p w:rsidR="007131F4" w:rsidRPr="00F810AF" w:rsidRDefault="00EA384D" w:rsidP="00F810AF">
      <w:pPr>
        <w:pStyle w:val="Akapitzlist"/>
        <w:spacing w:after="120"/>
        <w:ind w:left="426"/>
        <w:contextualSpacing w:val="0"/>
        <w:jc w:val="both"/>
        <w:rPr>
          <w:iCs/>
        </w:rPr>
      </w:pPr>
      <w:r>
        <w:t>Status projektu pozakonkursowego otrzyma również</w:t>
      </w:r>
      <w:r w:rsidR="00CC77EF">
        <w:t xml:space="preserve"> </w:t>
      </w:r>
      <w:r w:rsidR="009F671F">
        <w:t xml:space="preserve">projekt </w:t>
      </w:r>
      <w:r w:rsidR="00CC77EF" w:rsidRPr="00EA384D">
        <w:rPr>
          <w:i/>
        </w:rPr>
        <w:t>Przebudowa i rozbudowa hali widowiskowo-sportowej Urania w</w:t>
      </w:r>
      <w:r w:rsidR="00CC77EF" w:rsidRPr="00EA384D">
        <w:t xml:space="preserve"> Olsztynie</w:t>
      </w:r>
      <w:r w:rsidR="009F671F">
        <w:t>. Jest to projekt</w:t>
      </w:r>
      <w:r w:rsidR="009F671F" w:rsidRPr="002C4CAC">
        <w:t xml:space="preserve"> </w:t>
      </w:r>
      <w:r w:rsidR="00F225AB" w:rsidRPr="002C4CAC">
        <w:t>komplementarn</w:t>
      </w:r>
      <w:r w:rsidR="009F671F">
        <w:t>y</w:t>
      </w:r>
      <w:r w:rsidR="00F225AB" w:rsidRPr="002C4CAC">
        <w:t xml:space="preserve"> do realizowanych w ramach strategii ZIT </w:t>
      </w:r>
      <w:r w:rsidR="009F671F">
        <w:t xml:space="preserve">Olsztyna </w:t>
      </w:r>
      <w:r w:rsidR="00F225AB" w:rsidRPr="002C4CAC">
        <w:t>a wynikając</w:t>
      </w:r>
      <w:r w:rsidR="009F671F">
        <w:t>y</w:t>
      </w:r>
      <w:r w:rsidR="00F225AB" w:rsidRPr="002C4CAC">
        <w:t xml:space="preserve"> z</w:t>
      </w:r>
      <w:r w:rsidR="00CC77EF">
        <w:t xml:space="preserve"> </w:t>
      </w:r>
      <w:r w:rsidR="00F225AB" w:rsidRPr="002C4CAC">
        <w:t xml:space="preserve"> przygotowan</w:t>
      </w:r>
      <w:r w:rsidR="009F671F">
        <w:t>ej</w:t>
      </w:r>
      <w:r w:rsidR="00F225AB" w:rsidRPr="002C4CAC">
        <w:t xml:space="preserve"> przez miast</w:t>
      </w:r>
      <w:r w:rsidR="009F671F">
        <w:t>o</w:t>
      </w:r>
      <w:r w:rsidR="00F225AB" w:rsidRPr="002C4CAC">
        <w:t xml:space="preserve"> </w:t>
      </w:r>
      <w:r w:rsidR="009F671F">
        <w:t>Strategii Miejskiego Obszaru Funkcjonalnego Olsztyna</w:t>
      </w:r>
      <w:r w:rsidRPr="00EA384D">
        <w:rPr>
          <w:iCs/>
        </w:rPr>
        <w:t>.</w:t>
      </w:r>
    </w:p>
    <w:p w:rsidR="007131F4" w:rsidRPr="002C4CAC" w:rsidRDefault="00F810AF" w:rsidP="0095454D">
      <w:pPr>
        <w:pStyle w:val="Akapitzlist"/>
        <w:ind w:left="426"/>
        <w:jc w:val="both"/>
      </w:pPr>
      <w:r>
        <w:t xml:space="preserve">Pozostałe projekty </w:t>
      </w:r>
      <w:r w:rsidRPr="00F810AF">
        <w:t>komplementarn</w:t>
      </w:r>
      <w:r>
        <w:t>e</w:t>
      </w:r>
      <w:r w:rsidRPr="00F810AF">
        <w:t xml:space="preserve"> do realizowanych w ramach strategii ZIT a wynikając</w:t>
      </w:r>
      <w:r>
        <w:t>e</w:t>
      </w:r>
      <w:r w:rsidRPr="00F810AF">
        <w:t xml:space="preserve"> </w:t>
      </w:r>
      <w:r>
        <w:br/>
      </w:r>
      <w:r w:rsidRPr="00F810AF">
        <w:t>z przygotowan</w:t>
      </w:r>
      <w:r>
        <w:t>ych</w:t>
      </w:r>
      <w:r w:rsidRPr="00F810AF">
        <w:t xml:space="preserve"> przez miast</w:t>
      </w:r>
      <w:r>
        <w:t xml:space="preserve">a strategii rozwoju MOF mogą otrzymać preferencje </w:t>
      </w:r>
      <w:r>
        <w:br/>
        <w:t>w procedurze konkursowej wyboru projektów w Programie.</w:t>
      </w:r>
    </w:p>
    <w:p w:rsidR="00F225AB" w:rsidRPr="002C4CAC" w:rsidRDefault="00F225AB" w:rsidP="008B095B">
      <w:pPr>
        <w:pStyle w:val="Akapitzlist"/>
        <w:ind w:left="426"/>
        <w:jc w:val="both"/>
        <w:rPr>
          <w:sz w:val="10"/>
          <w:szCs w:val="10"/>
        </w:rPr>
      </w:pPr>
    </w:p>
    <w:p w:rsidR="00F225AB" w:rsidRPr="00F810AF" w:rsidRDefault="00F225AB" w:rsidP="00F810AF">
      <w:pPr>
        <w:pStyle w:val="Akapitzlist"/>
        <w:spacing w:after="120"/>
        <w:ind w:left="425"/>
        <w:contextualSpacing w:val="0"/>
        <w:jc w:val="both"/>
        <w:rPr>
          <w:b/>
          <w:sz w:val="24"/>
          <w:szCs w:val="24"/>
        </w:rPr>
      </w:pPr>
      <w:r w:rsidRPr="002E4AEE">
        <w:rPr>
          <w:b/>
          <w:sz w:val="24"/>
          <w:szCs w:val="24"/>
        </w:rPr>
        <w:t>Projekty wynikające z negocjacji Kontraktu Terytorialnego dla Województwa Warmińsko-Mazurskiego</w:t>
      </w:r>
    </w:p>
    <w:p w:rsidR="00F225AB" w:rsidRPr="002C4CAC" w:rsidRDefault="00F225AB" w:rsidP="00F810AF">
      <w:pPr>
        <w:pStyle w:val="Akapitzlist"/>
        <w:spacing w:after="120"/>
        <w:ind w:left="425"/>
        <w:contextualSpacing w:val="0"/>
        <w:jc w:val="both"/>
        <w:rPr>
          <w:u w:val="single"/>
        </w:rPr>
      </w:pPr>
      <w:r w:rsidRPr="002C4CAC">
        <w:rPr>
          <w:u w:val="single"/>
        </w:rPr>
        <w:t>Ogólny kontekst</w:t>
      </w:r>
    </w:p>
    <w:p w:rsidR="00F225AB" w:rsidRPr="002C4CAC" w:rsidRDefault="00F225AB" w:rsidP="000110F4">
      <w:pPr>
        <w:pStyle w:val="Akapitzlist"/>
        <w:ind w:left="425"/>
        <w:contextualSpacing w:val="0"/>
        <w:jc w:val="both"/>
      </w:pPr>
      <w:r w:rsidRPr="002C4CAC">
        <w:t xml:space="preserve">Kontrakt Terytorialny dla Województwa Warmińsko-Mazurskiego został zawarty 14 listopada 2014 r. Stanowi umowę zawartą między stroną rządową a samorządową określającą cele </w:t>
      </w:r>
      <w:r w:rsidRPr="002C4CAC">
        <w:br/>
        <w:t>i przedsięwzięcia priorytetowe, które mają istotne znaczenie dla rozwoju kraju oraz województwa warmińsko-mazurskiego, sposób ich finansowania, koordynacji i realizacji. Lista przedsięwzięć priorytetowych została określona w art. 6 Kontraktu Terytorialnego dla Województwa Warmińsko-Mazurskiego.</w:t>
      </w:r>
    </w:p>
    <w:p w:rsidR="00F225AB" w:rsidRPr="002C4CAC" w:rsidRDefault="00F225AB" w:rsidP="00F810AF">
      <w:pPr>
        <w:pStyle w:val="Akapitzlist"/>
        <w:spacing w:after="120"/>
        <w:ind w:left="425"/>
        <w:contextualSpacing w:val="0"/>
        <w:jc w:val="both"/>
      </w:pPr>
      <w:r w:rsidRPr="002C4CAC">
        <w:t>Strona samorządowa przekazała fiszki projektowe o przedsięwzięciach priorytetowych ujętych na liście podstawowej i warunkowej Kontraktu stronie rządowej, które są analizowane przez właściwe resorty. Zgodnie z planowaną procedurą, po ich zaakceptowaniu, stanowić będą załącznik do Kontraktu Terytorialnego (zostanie on wprowadzony w formie aneksu do KT). Wyniki tych uzgodnień mogą wpłynąć na indykatywną listę projektów do realizacji w ramach RPO WiM 2014-2020 w trybie pozakonkursowym.</w:t>
      </w:r>
    </w:p>
    <w:p w:rsidR="00F225AB" w:rsidRPr="00DC15FA" w:rsidRDefault="00F225AB" w:rsidP="00F810AF">
      <w:pPr>
        <w:spacing w:after="120"/>
        <w:ind w:left="426"/>
        <w:jc w:val="both"/>
        <w:rPr>
          <w:b/>
          <w:sz w:val="24"/>
          <w:szCs w:val="24"/>
        </w:rPr>
      </w:pPr>
      <w:r>
        <w:rPr>
          <w:b/>
          <w:sz w:val="24"/>
          <w:szCs w:val="24"/>
        </w:rPr>
        <w:lastRenderedPageBreak/>
        <w:t>Projekty z zakresu wdrażania instrumentów finansowych</w:t>
      </w:r>
      <w:r w:rsidRPr="00DC15FA">
        <w:rPr>
          <w:b/>
          <w:sz w:val="24"/>
          <w:szCs w:val="24"/>
        </w:rPr>
        <w:t xml:space="preserve"> </w:t>
      </w:r>
    </w:p>
    <w:p w:rsidR="00F225AB" w:rsidRPr="00DC15FA" w:rsidRDefault="00F225AB" w:rsidP="00F810AF">
      <w:pPr>
        <w:spacing w:after="120"/>
        <w:ind w:left="425"/>
        <w:jc w:val="both"/>
      </w:pPr>
      <w:r w:rsidRPr="00DC15FA">
        <w:t>Podstawę prawną wdrażania Instrumentów Finansowych (IF) stanowi Rozporządzenie Ogólne Parlamentu Europejskiego i Rady (UE) nr 1303/2013, zgodnie z którym IF to szczególna kategoria wydatków, których właściwe zaplanowanie i realizacja zależą od prawidłowej diagnozy luk i potrzeb rynkowych (art. 37 ust. 2 lit. a). IF w ramach RPO WiM 2014-2020 są ustanowione na poziomie regionalnym i zarządzane na odpowiedzialność Instytucji Zarządzającej Regionaln</w:t>
      </w:r>
      <w:r>
        <w:t>ym</w:t>
      </w:r>
      <w:r w:rsidRPr="00DC15FA">
        <w:t xml:space="preserve"> Program</w:t>
      </w:r>
      <w:r>
        <w:t>em</w:t>
      </w:r>
      <w:r w:rsidRPr="00DC15FA">
        <w:t xml:space="preserve"> Operacyjn</w:t>
      </w:r>
      <w:r>
        <w:t>ym</w:t>
      </w:r>
      <w:r w:rsidRPr="00DC15FA">
        <w:t xml:space="preserve"> Woje</w:t>
      </w:r>
      <w:r>
        <w:t>wództwa Warmińsko-Mazurskiego (</w:t>
      </w:r>
      <w:r w:rsidRPr="00DC15FA">
        <w:t xml:space="preserve">IZ RPO WiM), zgodnie z art. 38 ust. 1 lit b) Rozporządzenia nr 1303/2013.        </w:t>
      </w:r>
    </w:p>
    <w:p w:rsidR="00F225AB" w:rsidRPr="00433361" w:rsidRDefault="00F225AB" w:rsidP="00F810AF">
      <w:pPr>
        <w:spacing w:after="120"/>
        <w:ind w:left="425"/>
        <w:jc w:val="both"/>
        <w:rPr>
          <w:rFonts w:cs="Calibri"/>
          <w:lang w:eastAsia="pl-PL"/>
        </w:rPr>
      </w:pPr>
      <w:r w:rsidRPr="00DC15FA">
        <w:rPr>
          <w:rFonts w:cs="Arial"/>
        </w:rPr>
        <w:t xml:space="preserve">Wsparcie w ramach Europejskich Funduszy Strukturalnych i Inwestycyjnych w postaci instrumentów finansowych ma </w:t>
      </w:r>
      <w:r>
        <w:rPr>
          <w:rFonts w:cs="Arial"/>
        </w:rPr>
        <w:t>budować kapitał inwestycyjny dla firm oraz służyć</w:t>
      </w:r>
      <w:r w:rsidRPr="00DC15FA">
        <w:rPr>
          <w:rFonts w:cs="Arial"/>
        </w:rPr>
        <w:t xml:space="preserve"> osi</w:t>
      </w:r>
      <w:r>
        <w:rPr>
          <w:rFonts w:cs="Arial"/>
        </w:rPr>
        <w:t>ągnięciu</w:t>
      </w:r>
      <w:r w:rsidRPr="00DC15FA">
        <w:rPr>
          <w:rFonts w:cs="Arial"/>
        </w:rPr>
        <w:t xml:space="preserve"> określonych w RPO WiM 2014-2020 celów strategicznych. </w:t>
      </w:r>
      <w:r w:rsidRPr="00DC15FA">
        <w:rPr>
          <w:rFonts w:cs="Calibri"/>
          <w:lang w:eastAsia="pl-PL"/>
        </w:rPr>
        <w:t>Pomoc w rozwoju małych i średnich przedsiębiorstw z wykorzystaniem IF w RPO WiM 2014-2020 (w wysokości 60,2 mln EUR) została zaplanowana w ramach Priorytetu Inwestycyjnego 3a (</w:t>
      </w:r>
      <w:r w:rsidRPr="00DC15FA">
        <w:rPr>
          <w:rFonts w:cs="Arial"/>
          <w:i/>
        </w:rPr>
        <w:t>Promowanie przedsiębiorczości, w szczególności poprzez ułatwianie gospodarczego wykorzystywania nowych pomysłów oraz sprzyjanie tworzeniu nowych firm, w tym również poprzez inkubatory przedsiębiorczości</w:t>
      </w:r>
      <w:r w:rsidRPr="00DC15FA">
        <w:rPr>
          <w:rFonts w:cs="Arial"/>
        </w:rPr>
        <w:t>)</w:t>
      </w:r>
      <w:r w:rsidRPr="00DC15FA">
        <w:rPr>
          <w:rFonts w:cs="Calibri"/>
          <w:lang w:eastAsia="pl-PL"/>
        </w:rPr>
        <w:t xml:space="preserve"> oraz 3c (</w:t>
      </w:r>
      <w:r w:rsidRPr="00DC15FA">
        <w:rPr>
          <w:rFonts w:cs="Arial"/>
          <w:i/>
        </w:rPr>
        <w:t xml:space="preserve">Wspieranie tworzenia i poszerzania zaawansowanych zdolności w zakresie rozwoju produktów </w:t>
      </w:r>
      <w:r>
        <w:rPr>
          <w:rFonts w:cs="Arial"/>
          <w:i/>
        </w:rPr>
        <w:br/>
      </w:r>
      <w:r w:rsidRPr="00DC15FA">
        <w:rPr>
          <w:rFonts w:cs="Arial"/>
          <w:i/>
        </w:rPr>
        <w:t xml:space="preserve">i usług). </w:t>
      </w:r>
      <w:r w:rsidRPr="00DC15FA">
        <w:rPr>
          <w:rFonts w:cs="Arial"/>
        </w:rPr>
        <w:t>Wybór rodzajów i podział alokacji na IF</w:t>
      </w:r>
      <w:r w:rsidRPr="00DC15FA">
        <w:rPr>
          <w:rFonts w:cs="Calibri"/>
          <w:lang w:eastAsia="pl-PL"/>
        </w:rPr>
        <w:t xml:space="preserve"> w RPO WiM 2014-2020 jest rezultatem </w:t>
      </w:r>
      <w:r w:rsidRPr="00DC15FA">
        <w:rPr>
          <w:rFonts w:cs="Arial"/>
        </w:rPr>
        <w:t>„</w:t>
      </w:r>
      <w:r w:rsidRPr="00DC15FA">
        <w:rPr>
          <w:rFonts w:cs="Arial"/>
          <w:i/>
        </w:rPr>
        <w:t>Analizy ex-ante instrumentów finansowych w perspektywie finansowej 2014-2020 w województwie warmińsko-mazurskim</w:t>
      </w:r>
      <w:r w:rsidRPr="00DC15FA">
        <w:rPr>
          <w:rFonts w:cs="Arial"/>
        </w:rPr>
        <w:t>”</w:t>
      </w:r>
      <w:r w:rsidRPr="00DC15FA">
        <w:rPr>
          <w:rFonts w:cs="Calibri"/>
          <w:lang w:eastAsia="pl-PL"/>
        </w:rPr>
        <w:t>.</w:t>
      </w:r>
      <w:r>
        <w:rPr>
          <w:rFonts w:cs="Calibri"/>
          <w:lang w:eastAsia="pl-PL"/>
        </w:rPr>
        <w:t xml:space="preserve"> Projekty w zakresie i</w:t>
      </w:r>
      <w:r w:rsidRPr="00433361">
        <w:rPr>
          <w:rFonts w:cs="Calibri"/>
          <w:lang w:eastAsia="pl-PL"/>
        </w:rPr>
        <w:t>nstrument</w:t>
      </w:r>
      <w:r>
        <w:rPr>
          <w:rFonts w:cs="Calibri"/>
          <w:lang w:eastAsia="pl-PL"/>
        </w:rPr>
        <w:t>ów</w:t>
      </w:r>
      <w:r w:rsidRPr="00433361">
        <w:rPr>
          <w:rFonts w:cs="Calibri"/>
          <w:lang w:eastAsia="pl-PL"/>
        </w:rPr>
        <w:t xml:space="preserve"> f</w:t>
      </w:r>
      <w:r>
        <w:rPr>
          <w:rFonts w:cs="Calibri"/>
          <w:lang w:eastAsia="pl-PL"/>
        </w:rPr>
        <w:t xml:space="preserve">inansowych wdrażane będą zgodnie </w:t>
      </w:r>
      <w:r w:rsidRPr="00433361">
        <w:rPr>
          <w:rFonts w:cs="Calibri"/>
          <w:lang w:eastAsia="pl-PL"/>
        </w:rPr>
        <w:t xml:space="preserve">ze </w:t>
      </w:r>
      <w:r w:rsidRPr="00433361">
        <w:rPr>
          <w:rFonts w:cs="Calibri"/>
          <w:i/>
          <w:lang w:eastAsia="pl-PL"/>
        </w:rPr>
        <w:t>Strategią inwestycyjną dla instrumentów finansowych w ramach Regionalnego Programu Operacyjnego Województwa warmińsko-Mazurskiego na lata 2014-2020</w:t>
      </w:r>
      <w:r>
        <w:rPr>
          <w:rFonts w:cs="Calibri"/>
          <w:lang w:eastAsia="pl-PL"/>
        </w:rPr>
        <w:t xml:space="preserve"> zatwierdzoną przez Zarząd </w:t>
      </w:r>
      <w:r w:rsidRPr="00433361">
        <w:rPr>
          <w:rFonts w:cs="Calibri"/>
          <w:lang w:eastAsia="pl-PL"/>
        </w:rPr>
        <w:t>Województwa Warmińsko-Mazurskiego</w:t>
      </w:r>
      <w:r>
        <w:rPr>
          <w:rFonts w:cs="Calibri"/>
          <w:lang w:eastAsia="pl-PL"/>
        </w:rPr>
        <w:t>.</w:t>
      </w:r>
    </w:p>
    <w:p w:rsidR="00F225AB" w:rsidRPr="00DC15FA" w:rsidRDefault="00F225AB" w:rsidP="00F810AF">
      <w:pPr>
        <w:spacing w:after="120"/>
        <w:ind w:left="425"/>
        <w:jc w:val="both"/>
      </w:pPr>
      <w:r w:rsidRPr="00DC15FA">
        <w:rPr>
          <w:rFonts w:cs="Arial"/>
          <w:bCs/>
        </w:rPr>
        <w:t>W dniu 18 kwietnia 2016</w:t>
      </w:r>
      <w:r>
        <w:rPr>
          <w:rFonts w:cs="Arial"/>
          <w:bCs/>
        </w:rPr>
        <w:t xml:space="preserve"> </w:t>
      </w:r>
      <w:r w:rsidRPr="00DC15FA">
        <w:rPr>
          <w:rFonts w:cs="Arial"/>
          <w:bCs/>
        </w:rPr>
        <w:t>r. Zarząd Województwa Warmińsko-Mazurskiego podjął decyzję o wdrażaniu instrumentów finansowych (IF) w ramach Regionalnego Programu Operacyjnego Województwa Warmińsko-Mazurskiego na lata 2014-2020</w:t>
      </w:r>
      <w:r w:rsidR="00404B3C">
        <w:rPr>
          <w:rFonts w:cs="Arial"/>
          <w:bCs/>
        </w:rPr>
        <w:t xml:space="preserve"> w modelu z funduszem funduszy </w:t>
      </w:r>
      <w:r w:rsidRPr="00DC15FA">
        <w:rPr>
          <w:rFonts w:cs="Arial"/>
          <w:bCs/>
        </w:rPr>
        <w:t xml:space="preserve">(jeden podmiot pełniący rolę Menadżera Funduszu Funduszy dla wszystkich typów instrumentów finansowych). </w:t>
      </w:r>
      <w:r w:rsidRPr="00DC15FA">
        <w:t xml:space="preserve">Powyższy model jest zgodny z art. 38 ust. 4 lit b) oraz ust. 5 Rozporządzenia nr 1303/2013, a także ustawą z dnia 11 lipca 2014r. </w:t>
      </w:r>
      <w:r w:rsidRPr="00DC15FA">
        <w:rPr>
          <w:i/>
        </w:rPr>
        <w:t xml:space="preserve">o zasadach realizacji programów w zakresie polityki spójności finansowych w perspektywie finansowej 2014-2020 </w:t>
      </w:r>
      <w:r w:rsidRPr="00DC15FA">
        <w:t>(ustawa wdrożeniowa).</w:t>
      </w:r>
    </w:p>
    <w:p w:rsidR="00F225AB" w:rsidRPr="00633E79" w:rsidRDefault="00F225AB" w:rsidP="00F810AF">
      <w:pPr>
        <w:spacing w:after="120"/>
        <w:ind w:left="425"/>
        <w:jc w:val="both"/>
        <w:rPr>
          <w:rFonts w:cs="Arial"/>
          <w:bCs/>
        </w:rPr>
      </w:pPr>
      <w:r w:rsidRPr="00DC15FA">
        <w:rPr>
          <w:rFonts w:cs="Arial"/>
          <w:bCs/>
        </w:rPr>
        <w:t xml:space="preserve">Zgodnie z art. 28 ustawy wdrożeniowej, podmiotem wdrażającym IF w przypadku funduszu funduszy, mogą być wskazane wprost w ww. ustawie podmioty, które z racji doświadczenia we wdrażaniu pozadotacyjnych form wsparcia, zdolności instytucjonalnych, a także usytuowania w systemie instytucji publicznych i realizowania zadań publicznych, mogą pełnić na poziomie krajowym rolę podmiotu wdrażającego te instrumenty. Podmiotem predysponowanym do pełnienia ww. funkcji wymienionym wprost w ustawie jest m.in. Bank Gospodarstwa Krajowego (BGK). </w:t>
      </w:r>
    </w:p>
    <w:sectPr w:rsidR="00F225AB" w:rsidRPr="00633E79" w:rsidSect="00407FA7">
      <w:headerReference w:type="default" r:id="rId7"/>
      <w:footerReference w:type="default" r:id="rId8"/>
      <w:headerReference w:type="firs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A69" w:rsidRDefault="00317A69" w:rsidP="00FA193E">
      <w:pPr>
        <w:spacing w:after="0" w:line="240" w:lineRule="auto"/>
      </w:pPr>
      <w:r>
        <w:separator/>
      </w:r>
    </w:p>
  </w:endnote>
  <w:endnote w:type="continuationSeparator" w:id="0">
    <w:p w:rsidR="00317A69" w:rsidRDefault="00317A69" w:rsidP="00FA1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5AB" w:rsidRDefault="00B76B1C">
    <w:pPr>
      <w:pStyle w:val="Stopka"/>
      <w:jc w:val="right"/>
    </w:pPr>
    <w:r>
      <w:fldChar w:fldCharType="begin"/>
    </w:r>
    <w:r>
      <w:instrText>PAGE   \* MERGEFORMAT</w:instrText>
    </w:r>
    <w:r>
      <w:fldChar w:fldCharType="separate"/>
    </w:r>
    <w:r w:rsidR="007576E3">
      <w:rPr>
        <w:noProof/>
      </w:rPr>
      <w:t>3</w:t>
    </w:r>
    <w:r>
      <w:rPr>
        <w:noProof/>
      </w:rPr>
      <w:fldChar w:fldCharType="end"/>
    </w:r>
  </w:p>
  <w:p w:rsidR="00F225AB" w:rsidRDefault="00F225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A69" w:rsidRDefault="00317A69" w:rsidP="00FA193E">
      <w:pPr>
        <w:spacing w:after="0" w:line="240" w:lineRule="auto"/>
      </w:pPr>
      <w:r>
        <w:separator/>
      </w:r>
    </w:p>
  </w:footnote>
  <w:footnote w:type="continuationSeparator" w:id="0">
    <w:p w:rsidR="00317A69" w:rsidRDefault="00317A69" w:rsidP="00FA1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5AB" w:rsidRDefault="00F225AB" w:rsidP="00407FA7">
    <w:pPr>
      <w:pStyle w:val="Nagwek"/>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1F4" w:rsidRDefault="007131F4">
    <w:pPr>
      <w:pStyle w:val="Nagwek"/>
    </w:pPr>
    <w:r w:rsidRPr="007131F4">
      <w:rPr>
        <w:rFonts w:ascii="Arial" w:eastAsia="Times New Roman" w:hAnsi="Arial" w:cs="Arial"/>
        <w:noProof/>
        <w:sz w:val="24"/>
        <w:szCs w:val="24"/>
        <w:lang w:eastAsia="pl-PL"/>
      </w:rPr>
      <w:drawing>
        <wp:inline distT="0" distB="0" distL="0" distR="0" wp14:anchorId="0F932DEF" wp14:editId="1C55E5D8">
          <wp:extent cx="5759450" cy="677545"/>
          <wp:effectExtent l="0" t="0" r="0"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775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2E14"/>
    <w:multiLevelType w:val="hybridMultilevel"/>
    <w:tmpl w:val="E4D68B08"/>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0C7584"/>
    <w:multiLevelType w:val="hybridMultilevel"/>
    <w:tmpl w:val="37FC0BDC"/>
    <w:lvl w:ilvl="0" w:tplc="0415000F">
      <w:start w:val="1"/>
      <w:numFmt w:val="decimal"/>
      <w:lvlText w:val="%1."/>
      <w:lvlJc w:val="left"/>
      <w:pPr>
        <w:ind w:left="720" w:hanging="360"/>
      </w:pPr>
      <w:rPr>
        <w:rFonts w:cs="Times New Roman"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BE29A3"/>
    <w:multiLevelType w:val="hybridMultilevel"/>
    <w:tmpl w:val="1B505338"/>
    <w:lvl w:ilvl="0" w:tplc="0415000F">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 w15:restartNumberingAfterBreak="0">
    <w:nsid w:val="0D7159AB"/>
    <w:multiLevelType w:val="hybridMultilevel"/>
    <w:tmpl w:val="916A2EA8"/>
    <w:lvl w:ilvl="0" w:tplc="0415000F">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EC3A3F"/>
    <w:multiLevelType w:val="hybridMultilevel"/>
    <w:tmpl w:val="813EB77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5EB05A8"/>
    <w:multiLevelType w:val="hybridMultilevel"/>
    <w:tmpl w:val="1770824E"/>
    <w:lvl w:ilvl="0" w:tplc="7CCE491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8706C4"/>
    <w:multiLevelType w:val="hybridMultilevel"/>
    <w:tmpl w:val="266EAB7C"/>
    <w:lvl w:ilvl="0" w:tplc="4E020B6C">
      <w:start w:val="1"/>
      <w:numFmt w:val="decimal"/>
      <w:lvlText w:val="%1)"/>
      <w:lvlJc w:val="left"/>
      <w:pPr>
        <w:ind w:left="1004" w:hanging="360"/>
      </w:pPr>
      <w:rPr>
        <w:rFonts w:cs="Times New Roman"/>
        <w:i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 w15:restartNumberingAfterBreak="0">
    <w:nsid w:val="1A475376"/>
    <w:multiLevelType w:val="hybridMultilevel"/>
    <w:tmpl w:val="46BC2C44"/>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 w15:restartNumberingAfterBreak="0">
    <w:nsid w:val="1A95058D"/>
    <w:multiLevelType w:val="hybridMultilevel"/>
    <w:tmpl w:val="28602F1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035567E"/>
    <w:multiLevelType w:val="hybridMultilevel"/>
    <w:tmpl w:val="CE0C551C"/>
    <w:lvl w:ilvl="0" w:tplc="48987A2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5A26B7A"/>
    <w:multiLevelType w:val="hybridMultilevel"/>
    <w:tmpl w:val="222AFC7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80E5F04"/>
    <w:multiLevelType w:val="hybridMultilevel"/>
    <w:tmpl w:val="AF62F58C"/>
    <w:lvl w:ilvl="0" w:tplc="04150011">
      <w:start w:val="1"/>
      <w:numFmt w:val="decimal"/>
      <w:lvlText w:val="%1)"/>
      <w:lvlJc w:val="left"/>
      <w:pPr>
        <w:ind w:left="720" w:hanging="360"/>
      </w:pPr>
      <w:rPr>
        <w:rFonts w:cs="Times New Roman"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D274BFD"/>
    <w:multiLevelType w:val="hybridMultilevel"/>
    <w:tmpl w:val="E014F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F98684A"/>
    <w:multiLevelType w:val="hybridMultilevel"/>
    <w:tmpl w:val="5498CF18"/>
    <w:lvl w:ilvl="0" w:tplc="82706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04B5105"/>
    <w:multiLevelType w:val="hybridMultilevel"/>
    <w:tmpl w:val="C862F9E6"/>
    <w:lvl w:ilvl="0" w:tplc="8270649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41D720AA"/>
    <w:multiLevelType w:val="hybridMultilevel"/>
    <w:tmpl w:val="B59EE71C"/>
    <w:lvl w:ilvl="0" w:tplc="04150019">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6" w15:restartNumberingAfterBreak="0">
    <w:nsid w:val="49C664B7"/>
    <w:multiLevelType w:val="hybridMultilevel"/>
    <w:tmpl w:val="35182E88"/>
    <w:lvl w:ilvl="0" w:tplc="D87ED8E8">
      <w:start w:val="1"/>
      <w:numFmt w:val="decimal"/>
      <w:lvlText w:val="%1)"/>
      <w:lvlJc w:val="left"/>
      <w:pPr>
        <w:tabs>
          <w:tab w:val="num" w:pos="2340"/>
        </w:tabs>
        <w:ind w:left="23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49F16466"/>
    <w:multiLevelType w:val="hybridMultilevel"/>
    <w:tmpl w:val="AFCCD5B6"/>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8" w15:restartNumberingAfterBreak="0">
    <w:nsid w:val="53DA06DB"/>
    <w:multiLevelType w:val="hybridMultilevel"/>
    <w:tmpl w:val="5888D7D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EB35405"/>
    <w:multiLevelType w:val="hybridMultilevel"/>
    <w:tmpl w:val="FA703E7C"/>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0" w15:restartNumberingAfterBreak="0">
    <w:nsid w:val="61264BAE"/>
    <w:multiLevelType w:val="hybridMultilevel"/>
    <w:tmpl w:val="08AC1A7C"/>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66371281"/>
    <w:multiLevelType w:val="hybridMultilevel"/>
    <w:tmpl w:val="16EE2914"/>
    <w:lvl w:ilvl="0" w:tplc="04150019">
      <w:start w:val="1"/>
      <w:numFmt w:val="lowerLetter"/>
      <w:lvlText w:val="%1."/>
      <w:lvlJc w:val="left"/>
      <w:pPr>
        <w:ind w:left="1713" w:hanging="360"/>
      </w:pPr>
      <w:rPr>
        <w:rFonts w:cs="Times New Roman"/>
      </w:rPr>
    </w:lvl>
    <w:lvl w:ilvl="1" w:tplc="04150019" w:tentative="1">
      <w:start w:val="1"/>
      <w:numFmt w:val="lowerLetter"/>
      <w:lvlText w:val="%2."/>
      <w:lvlJc w:val="left"/>
      <w:pPr>
        <w:ind w:left="2433" w:hanging="360"/>
      </w:pPr>
      <w:rPr>
        <w:rFonts w:cs="Times New Roman"/>
      </w:rPr>
    </w:lvl>
    <w:lvl w:ilvl="2" w:tplc="0415001B" w:tentative="1">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22" w15:restartNumberingAfterBreak="0">
    <w:nsid w:val="69DD0A50"/>
    <w:multiLevelType w:val="hybridMultilevel"/>
    <w:tmpl w:val="A812427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73276956"/>
    <w:multiLevelType w:val="hybridMultilevel"/>
    <w:tmpl w:val="C70A4542"/>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4" w15:restartNumberingAfterBreak="0">
    <w:nsid w:val="74646B62"/>
    <w:multiLevelType w:val="hybridMultilevel"/>
    <w:tmpl w:val="B84851DC"/>
    <w:lvl w:ilvl="0" w:tplc="04150019">
      <w:start w:val="1"/>
      <w:numFmt w:val="lowerLetter"/>
      <w:lvlText w:val="%1."/>
      <w:lvlJc w:val="left"/>
      <w:pPr>
        <w:ind w:left="1713" w:hanging="360"/>
      </w:pPr>
      <w:rPr>
        <w:rFonts w:cs="Times New Roman"/>
      </w:rPr>
    </w:lvl>
    <w:lvl w:ilvl="1" w:tplc="04150019" w:tentative="1">
      <w:start w:val="1"/>
      <w:numFmt w:val="lowerLetter"/>
      <w:lvlText w:val="%2."/>
      <w:lvlJc w:val="left"/>
      <w:pPr>
        <w:ind w:left="2433" w:hanging="360"/>
      </w:pPr>
      <w:rPr>
        <w:rFonts w:cs="Times New Roman"/>
      </w:rPr>
    </w:lvl>
    <w:lvl w:ilvl="2" w:tplc="0415001B" w:tentative="1">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25" w15:restartNumberingAfterBreak="0">
    <w:nsid w:val="770A7EB2"/>
    <w:multiLevelType w:val="hybridMultilevel"/>
    <w:tmpl w:val="97EA7592"/>
    <w:lvl w:ilvl="0" w:tplc="48987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82A345B"/>
    <w:multiLevelType w:val="hybridMultilevel"/>
    <w:tmpl w:val="815E7552"/>
    <w:lvl w:ilvl="0" w:tplc="DA3A8796">
      <w:start w:val="1"/>
      <w:numFmt w:val="decimal"/>
      <w:lvlText w:val="%1)"/>
      <w:lvlJc w:val="left"/>
      <w:pPr>
        <w:tabs>
          <w:tab w:val="num" w:pos="0"/>
        </w:tabs>
        <w:ind w:left="1004"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7B437C9A"/>
    <w:multiLevelType w:val="hybridMultilevel"/>
    <w:tmpl w:val="45F641D0"/>
    <w:lvl w:ilvl="0" w:tplc="2858297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DDD599E"/>
    <w:multiLevelType w:val="hybridMultilevel"/>
    <w:tmpl w:val="B534148C"/>
    <w:lvl w:ilvl="0" w:tplc="0415000F">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num w:numId="1">
    <w:abstractNumId w:val="27"/>
  </w:num>
  <w:num w:numId="2">
    <w:abstractNumId w:val="5"/>
  </w:num>
  <w:num w:numId="3">
    <w:abstractNumId w:val="1"/>
  </w:num>
  <w:num w:numId="4">
    <w:abstractNumId w:val="6"/>
  </w:num>
  <w:num w:numId="5">
    <w:abstractNumId w:val="11"/>
  </w:num>
  <w:num w:numId="6">
    <w:abstractNumId w:val="14"/>
  </w:num>
  <w:num w:numId="7">
    <w:abstractNumId w:val="13"/>
  </w:num>
  <w:num w:numId="8">
    <w:abstractNumId w:val="23"/>
  </w:num>
  <w:num w:numId="9">
    <w:abstractNumId w:val="1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7"/>
  </w:num>
  <w:num w:numId="13">
    <w:abstractNumId w:val="20"/>
  </w:num>
  <w:num w:numId="14">
    <w:abstractNumId w:val="7"/>
  </w:num>
  <w:num w:numId="15">
    <w:abstractNumId w:val="28"/>
  </w:num>
  <w:num w:numId="16">
    <w:abstractNumId w:val="15"/>
  </w:num>
  <w:num w:numId="17">
    <w:abstractNumId w:val="21"/>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2"/>
  </w:num>
  <w:num w:numId="23">
    <w:abstractNumId w:val="4"/>
  </w:num>
  <w:num w:numId="24">
    <w:abstractNumId w:val="3"/>
  </w:num>
  <w:num w:numId="25">
    <w:abstractNumId w:val="22"/>
  </w:num>
  <w:num w:numId="26">
    <w:abstractNumId w:val="8"/>
  </w:num>
  <w:num w:numId="27">
    <w:abstractNumId w:val="0"/>
  </w:num>
  <w:num w:numId="28">
    <w:abstractNumId w:val="18"/>
  </w:num>
  <w:num w:numId="29">
    <w:abstractNumId w:val="25"/>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566"/>
    <w:rsid w:val="000063D0"/>
    <w:rsid w:val="000110F4"/>
    <w:rsid w:val="00012F99"/>
    <w:rsid w:val="000246A5"/>
    <w:rsid w:val="00024AEC"/>
    <w:rsid w:val="000324A1"/>
    <w:rsid w:val="00034CEE"/>
    <w:rsid w:val="000366D9"/>
    <w:rsid w:val="000444C3"/>
    <w:rsid w:val="0006389D"/>
    <w:rsid w:val="000760F8"/>
    <w:rsid w:val="00077873"/>
    <w:rsid w:val="00082D27"/>
    <w:rsid w:val="000956BC"/>
    <w:rsid w:val="000A2C7B"/>
    <w:rsid w:val="000A3546"/>
    <w:rsid w:val="000B0ED3"/>
    <w:rsid w:val="000B7894"/>
    <w:rsid w:val="000C7BF0"/>
    <w:rsid w:val="000D460C"/>
    <w:rsid w:val="000E608C"/>
    <w:rsid w:val="000F1ED4"/>
    <w:rsid w:val="000F2DEE"/>
    <w:rsid w:val="0010122A"/>
    <w:rsid w:val="00103964"/>
    <w:rsid w:val="001133DE"/>
    <w:rsid w:val="001211F4"/>
    <w:rsid w:val="0013681D"/>
    <w:rsid w:val="0013790B"/>
    <w:rsid w:val="00144595"/>
    <w:rsid w:val="0015552A"/>
    <w:rsid w:val="001635F4"/>
    <w:rsid w:val="0017577F"/>
    <w:rsid w:val="001762F0"/>
    <w:rsid w:val="001A2C3E"/>
    <w:rsid w:val="001A372D"/>
    <w:rsid w:val="001A6E39"/>
    <w:rsid w:val="001B689F"/>
    <w:rsid w:val="001C25D3"/>
    <w:rsid w:val="001C3D63"/>
    <w:rsid w:val="001C5130"/>
    <w:rsid w:val="001E711E"/>
    <w:rsid w:val="001F1343"/>
    <w:rsid w:val="001F3184"/>
    <w:rsid w:val="00207787"/>
    <w:rsid w:val="002103DD"/>
    <w:rsid w:val="002131C2"/>
    <w:rsid w:val="0021582F"/>
    <w:rsid w:val="00215F10"/>
    <w:rsid w:val="00223B25"/>
    <w:rsid w:val="00226F35"/>
    <w:rsid w:val="002337D1"/>
    <w:rsid w:val="00251FCB"/>
    <w:rsid w:val="00254BE6"/>
    <w:rsid w:val="00257A8F"/>
    <w:rsid w:val="002729A3"/>
    <w:rsid w:val="00290C59"/>
    <w:rsid w:val="002A4506"/>
    <w:rsid w:val="002B48AC"/>
    <w:rsid w:val="002C3150"/>
    <w:rsid w:val="002C4CAC"/>
    <w:rsid w:val="002D26B7"/>
    <w:rsid w:val="002E4AEE"/>
    <w:rsid w:val="002E5743"/>
    <w:rsid w:val="00317A69"/>
    <w:rsid w:val="0032245A"/>
    <w:rsid w:val="0032588C"/>
    <w:rsid w:val="00340EB8"/>
    <w:rsid w:val="00341866"/>
    <w:rsid w:val="00343C26"/>
    <w:rsid w:val="003459FE"/>
    <w:rsid w:val="003537D8"/>
    <w:rsid w:val="0039260B"/>
    <w:rsid w:val="00393BAF"/>
    <w:rsid w:val="00397CAD"/>
    <w:rsid w:val="003A3927"/>
    <w:rsid w:val="003A6B85"/>
    <w:rsid w:val="003B6E59"/>
    <w:rsid w:val="003F78C3"/>
    <w:rsid w:val="00404B3C"/>
    <w:rsid w:val="00406839"/>
    <w:rsid w:val="00407FA7"/>
    <w:rsid w:val="00412070"/>
    <w:rsid w:val="00415708"/>
    <w:rsid w:val="004331D4"/>
    <w:rsid w:val="00433361"/>
    <w:rsid w:val="00440A2B"/>
    <w:rsid w:val="00447A0C"/>
    <w:rsid w:val="00450B85"/>
    <w:rsid w:val="00466425"/>
    <w:rsid w:val="00466B6B"/>
    <w:rsid w:val="00474DE2"/>
    <w:rsid w:val="00474E2C"/>
    <w:rsid w:val="004853D1"/>
    <w:rsid w:val="00490911"/>
    <w:rsid w:val="0049254A"/>
    <w:rsid w:val="00494C10"/>
    <w:rsid w:val="004957CB"/>
    <w:rsid w:val="004B053B"/>
    <w:rsid w:val="004E04DF"/>
    <w:rsid w:val="004E14AE"/>
    <w:rsid w:val="004E2B3B"/>
    <w:rsid w:val="004E2F9B"/>
    <w:rsid w:val="004E5AC6"/>
    <w:rsid w:val="00505A1B"/>
    <w:rsid w:val="005066E5"/>
    <w:rsid w:val="00520AAF"/>
    <w:rsid w:val="00534064"/>
    <w:rsid w:val="00537C71"/>
    <w:rsid w:val="00553616"/>
    <w:rsid w:val="00555146"/>
    <w:rsid w:val="005771ED"/>
    <w:rsid w:val="005950FF"/>
    <w:rsid w:val="005A1239"/>
    <w:rsid w:val="005A3148"/>
    <w:rsid w:val="005B08D3"/>
    <w:rsid w:val="005D3EAD"/>
    <w:rsid w:val="005E045F"/>
    <w:rsid w:val="006027DD"/>
    <w:rsid w:val="006069BC"/>
    <w:rsid w:val="0062165B"/>
    <w:rsid w:val="00633E79"/>
    <w:rsid w:val="0063464C"/>
    <w:rsid w:val="00634CE6"/>
    <w:rsid w:val="00650E42"/>
    <w:rsid w:val="00651A8B"/>
    <w:rsid w:val="00653E8C"/>
    <w:rsid w:val="0065457E"/>
    <w:rsid w:val="0065623F"/>
    <w:rsid w:val="00662797"/>
    <w:rsid w:val="006741BB"/>
    <w:rsid w:val="00676D1D"/>
    <w:rsid w:val="00677A0A"/>
    <w:rsid w:val="006A1721"/>
    <w:rsid w:val="006B142E"/>
    <w:rsid w:val="006B383F"/>
    <w:rsid w:val="006B51B9"/>
    <w:rsid w:val="006C6FA4"/>
    <w:rsid w:val="006D27CC"/>
    <w:rsid w:val="006D3FF1"/>
    <w:rsid w:val="006D42AE"/>
    <w:rsid w:val="006D4A92"/>
    <w:rsid w:val="006E4415"/>
    <w:rsid w:val="006E461D"/>
    <w:rsid w:val="006F4ACA"/>
    <w:rsid w:val="006F7276"/>
    <w:rsid w:val="007131F4"/>
    <w:rsid w:val="00717536"/>
    <w:rsid w:val="007225F2"/>
    <w:rsid w:val="00732033"/>
    <w:rsid w:val="00733212"/>
    <w:rsid w:val="007408CB"/>
    <w:rsid w:val="007576E3"/>
    <w:rsid w:val="00761D2B"/>
    <w:rsid w:val="00766433"/>
    <w:rsid w:val="00785746"/>
    <w:rsid w:val="007C365A"/>
    <w:rsid w:val="007C7E71"/>
    <w:rsid w:val="007E2A47"/>
    <w:rsid w:val="007E40D3"/>
    <w:rsid w:val="007E42D8"/>
    <w:rsid w:val="00800DB5"/>
    <w:rsid w:val="0081713A"/>
    <w:rsid w:val="00823977"/>
    <w:rsid w:val="00824088"/>
    <w:rsid w:val="0083037D"/>
    <w:rsid w:val="00831A3C"/>
    <w:rsid w:val="00840F1E"/>
    <w:rsid w:val="008545A9"/>
    <w:rsid w:val="00862B62"/>
    <w:rsid w:val="00863EE4"/>
    <w:rsid w:val="00872EEB"/>
    <w:rsid w:val="008A28D9"/>
    <w:rsid w:val="008B095B"/>
    <w:rsid w:val="008B1328"/>
    <w:rsid w:val="008D3A47"/>
    <w:rsid w:val="008D7AAD"/>
    <w:rsid w:val="008E53AA"/>
    <w:rsid w:val="008F00A6"/>
    <w:rsid w:val="008F4AF5"/>
    <w:rsid w:val="008F73FC"/>
    <w:rsid w:val="00913F70"/>
    <w:rsid w:val="009160C4"/>
    <w:rsid w:val="0092573E"/>
    <w:rsid w:val="00944EFD"/>
    <w:rsid w:val="0095454D"/>
    <w:rsid w:val="00956C2B"/>
    <w:rsid w:val="0096746A"/>
    <w:rsid w:val="0099367B"/>
    <w:rsid w:val="009A1837"/>
    <w:rsid w:val="009C4CCC"/>
    <w:rsid w:val="009D481A"/>
    <w:rsid w:val="009F3315"/>
    <w:rsid w:val="009F671F"/>
    <w:rsid w:val="00A03E51"/>
    <w:rsid w:val="00A03FDA"/>
    <w:rsid w:val="00A05692"/>
    <w:rsid w:val="00A10FE8"/>
    <w:rsid w:val="00A26E2B"/>
    <w:rsid w:val="00A34531"/>
    <w:rsid w:val="00A37051"/>
    <w:rsid w:val="00A52876"/>
    <w:rsid w:val="00A63478"/>
    <w:rsid w:val="00A70497"/>
    <w:rsid w:val="00A71900"/>
    <w:rsid w:val="00A86F3D"/>
    <w:rsid w:val="00AA6415"/>
    <w:rsid w:val="00AD5E09"/>
    <w:rsid w:val="00AE0134"/>
    <w:rsid w:val="00AE2032"/>
    <w:rsid w:val="00AF271F"/>
    <w:rsid w:val="00AF5C5F"/>
    <w:rsid w:val="00B02EDF"/>
    <w:rsid w:val="00B1163D"/>
    <w:rsid w:val="00B12CD7"/>
    <w:rsid w:val="00B2522D"/>
    <w:rsid w:val="00B31A72"/>
    <w:rsid w:val="00B3696A"/>
    <w:rsid w:val="00B459B4"/>
    <w:rsid w:val="00B46F1E"/>
    <w:rsid w:val="00B52247"/>
    <w:rsid w:val="00B71CDE"/>
    <w:rsid w:val="00B73B02"/>
    <w:rsid w:val="00B76B1C"/>
    <w:rsid w:val="00B82E77"/>
    <w:rsid w:val="00B87C67"/>
    <w:rsid w:val="00B92226"/>
    <w:rsid w:val="00B932D5"/>
    <w:rsid w:val="00B95C2D"/>
    <w:rsid w:val="00BA3182"/>
    <w:rsid w:val="00BB2566"/>
    <w:rsid w:val="00BB2B79"/>
    <w:rsid w:val="00BB34D6"/>
    <w:rsid w:val="00BC328D"/>
    <w:rsid w:val="00BC5268"/>
    <w:rsid w:val="00BE3BBF"/>
    <w:rsid w:val="00BF1CAA"/>
    <w:rsid w:val="00BF51B7"/>
    <w:rsid w:val="00BF53A1"/>
    <w:rsid w:val="00C2394F"/>
    <w:rsid w:val="00C47ECF"/>
    <w:rsid w:val="00C51036"/>
    <w:rsid w:val="00C54894"/>
    <w:rsid w:val="00C578E8"/>
    <w:rsid w:val="00C630F6"/>
    <w:rsid w:val="00C67243"/>
    <w:rsid w:val="00CA42D8"/>
    <w:rsid w:val="00CA61B5"/>
    <w:rsid w:val="00CA756F"/>
    <w:rsid w:val="00CB0C91"/>
    <w:rsid w:val="00CB118F"/>
    <w:rsid w:val="00CB5A7D"/>
    <w:rsid w:val="00CC77EF"/>
    <w:rsid w:val="00CD7015"/>
    <w:rsid w:val="00D028CE"/>
    <w:rsid w:val="00D20F90"/>
    <w:rsid w:val="00D27BA8"/>
    <w:rsid w:val="00D27D2D"/>
    <w:rsid w:val="00D3086E"/>
    <w:rsid w:val="00D365B9"/>
    <w:rsid w:val="00D37DF7"/>
    <w:rsid w:val="00D51068"/>
    <w:rsid w:val="00D67C5A"/>
    <w:rsid w:val="00D7205D"/>
    <w:rsid w:val="00D923C4"/>
    <w:rsid w:val="00DB24B6"/>
    <w:rsid w:val="00DC15FA"/>
    <w:rsid w:val="00DE1A5D"/>
    <w:rsid w:val="00DE5FBA"/>
    <w:rsid w:val="00DF7ECB"/>
    <w:rsid w:val="00E04BE0"/>
    <w:rsid w:val="00E13738"/>
    <w:rsid w:val="00E1748E"/>
    <w:rsid w:val="00E22EAF"/>
    <w:rsid w:val="00E25FD6"/>
    <w:rsid w:val="00E31F33"/>
    <w:rsid w:val="00E42732"/>
    <w:rsid w:val="00E9695E"/>
    <w:rsid w:val="00EA384D"/>
    <w:rsid w:val="00EB3BDF"/>
    <w:rsid w:val="00EC1D78"/>
    <w:rsid w:val="00EC5AD0"/>
    <w:rsid w:val="00EC7FAA"/>
    <w:rsid w:val="00ED3181"/>
    <w:rsid w:val="00ED5FA7"/>
    <w:rsid w:val="00EE1193"/>
    <w:rsid w:val="00EF5139"/>
    <w:rsid w:val="00F05AA2"/>
    <w:rsid w:val="00F14175"/>
    <w:rsid w:val="00F225AB"/>
    <w:rsid w:val="00F375C0"/>
    <w:rsid w:val="00F446E6"/>
    <w:rsid w:val="00F56CBF"/>
    <w:rsid w:val="00F61E42"/>
    <w:rsid w:val="00F70CBA"/>
    <w:rsid w:val="00F74633"/>
    <w:rsid w:val="00F76CF6"/>
    <w:rsid w:val="00F810AF"/>
    <w:rsid w:val="00F82068"/>
    <w:rsid w:val="00F834E8"/>
    <w:rsid w:val="00F8508D"/>
    <w:rsid w:val="00F9272C"/>
    <w:rsid w:val="00F94406"/>
    <w:rsid w:val="00F94D4E"/>
    <w:rsid w:val="00FA193E"/>
    <w:rsid w:val="00FA2F55"/>
    <w:rsid w:val="00FA4A4B"/>
    <w:rsid w:val="00FA4E30"/>
    <w:rsid w:val="00FA638B"/>
    <w:rsid w:val="00FB440C"/>
    <w:rsid w:val="00FB4E64"/>
    <w:rsid w:val="00FB6ECB"/>
    <w:rsid w:val="00FE36F1"/>
    <w:rsid w:val="00FE77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56F79CB-05DC-46F0-BD34-87558BB2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7CAD"/>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732033"/>
    <w:pPr>
      <w:ind w:left="720"/>
      <w:contextualSpacing/>
    </w:pPr>
  </w:style>
  <w:style w:type="paragraph" w:styleId="Tekstdymka">
    <w:name w:val="Balloon Text"/>
    <w:basedOn w:val="Normalny"/>
    <w:link w:val="TekstdymkaZnak"/>
    <w:uiPriority w:val="99"/>
    <w:semiHidden/>
    <w:rsid w:val="00AE20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E2032"/>
    <w:rPr>
      <w:rFonts w:ascii="Tahoma" w:hAnsi="Tahoma" w:cs="Tahoma"/>
      <w:sz w:val="16"/>
      <w:szCs w:val="16"/>
    </w:rPr>
  </w:style>
  <w:style w:type="paragraph" w:styleId="Nagwek">
    <w:name w:val="header"/>
    <w:basedOn w:val="Normalny"/>
    <w:link w:val="NagwekZnak"/>
    <w:uiPriority w:val="99"/>
    <w:rsid w:val="00FA193E"/>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FA193E"/>
    <w:rPr>
      <w:rFonts w:cs="Times New Roman"/>
    </w:rPr>
  </w:style>
  <w:style w:type="paragraph" w:styleId="Stopka">
    <w:name w:val="footer"/>
    <w:basedOn w:val="Normalny"/>
    <w:link w:val="StopkaZnak"/>
    <w:uiPriority w:val="99"/>
    <w:rsid w:val="00FA193E"/>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A193E"/>
    <w:rPr>
      <w:rFonts w:cs="Times New Roman"/>
    </w:rPr>
  </w:style>
  <w:style w:type="character" w:styleId="Odwoaniedokomentarza">
    <w:name w:val="annotation reference"/>
    <w:basedOn w:val="Domylnaczcionkaakapitu"/>
    <w:uiPriority w:val="99"/>
    <w:semiHidden/>
    <w:rsid w:val="00AD5E09"/>
    <w:rPr>
      <w:rFonts w:cs="Times New Roman"/>
      <w:sz w:val="16"/>
      <w:szCs w:val="16"/>
    </w:rPr>
  </w:style>
  <w:style w:type="paragraph" w:styleId="Tekstkomentarza">
    <w:name w:val="annotation text"/>
    <w:basedOn w:val="Normalny"/>
    <w:link w:val="TekstkomentarzaZnak"/>
    <w:uiPriority w:val="99"/>
    <w:rsid w:val="00AD5E09"/>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AD5E09"/>
    <w:rPr>
      <w:rFonts w:cs="Times New Roman"/>
      <w:sz w:val="20"/>
      <w:szCs w:val="20"/>
    </w:rPr>
  </w:style>
  <w:style w:type="paragraph" w:styleId="Tematkomentarza">
    <w:name w:val="annotation subject"/>
    <w:basedOn w:val="Tekstkomentarza"/>
    <w:next w:val="Tekstkomentarza"/>
    <w:link w:val="TematkomentarzaZnak"/>
    <w:uiPriority w:val="99"/>
    <w:semiHidden/>
    <w:rsid w:val="00AD5E09"/>
    <w:rPr>
      <w:b/>
      <w:bCs/>
    </w:rPr>
  </w:style>
  <w:style w:type="character" w:customStyle="1" w:styleId="TematkomentarzaZnak">
    <w:name w:val="Temat komentarza Znak"/>
    <w:basedOn w:val="TekstkomentarzaZnak"/>
    <w:link w:val="Tematkomentarza"/>
    <w:uiPriority w:val="99"/>
    <w:semiHidden/>
    <w:locked/>
    <w:rsid w:val="00AD5E09"/>
    <w:rPr>
      <w:rFonts w:cs="Times New Roman"/>
      <w:b/>
      <w:bCs/>
      <w:sz w:val="20"/>
      <w:szCs w:val="20"/>
    </w:rPr>
  </w:style>
  <w:style w:type="paragraph" w:customStyle="1" w:styleId="Default">
    <w:name w:val="Default"/>
    <w:uiPriority w:val="99"/>
    <w:rsid w:val="005950FF"/>
    <w:pPr>
      <w:autoSpaceDE w:val="0"/>
      <w:autoSpaceDN w:val="0"/>
      <w:adjustRightInd w:val="0"/>
    </w:pPr>
    <w:rPr>
      <w:rFonts w:cs="Calibri"/>
      <w:color w:val="000000"/>
      <w:sz w:val="24"/>
      <w:szCs w:val="24"/>
      <w:lang w:eastAsia="en-US"/>
    </w:rPr>
  </w:style>
  <w:style w:type="character" w:styleId="Pogrubienie">
    <w:name w:val="Strong"/>
    <w:basedOn w:val="Domylnaczcionkaakapitu"/>
    <w:uiPriority w:val="99"/>
    <w:qFormat/>
    <w:locked/>
    <w:rsid w:val="00662797"/>
    <w:rPr>
      <w:rFonts w:cs="Times New Roman"/>
      <w:b/>
      <w:bCs/>
    </w:rPr>
  </w:style>
  <w:style w:type="paragraph" w:styleId="Tekstprzypisukocowego">
    <w:name w:val="endnote text"/>
    <w:basedOn w:val="Normalny"/>
    <w:link w:val="TekstprzypisukocowegoZnak"/>
    <w:uiPriority w:val="99"/>
    <w:semiHidden/>
    <w:rsid w:val="0043336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433361"/>
    <w:rPr>
      <w:rFonts w:cs="Times New Roman"/>
      <w:sz w:val="20"/>
      <w:szCs w:val="20"/>
      <w:lang w:eastAsia="en-US"/>
    </w:rPr>
  </w:style>
  <w:style w:type="character" w:styleId="Odwoanieprzypisukocowego">
    <w:name w:val="endnote reference"/>
    <w:basedOn w:val="Domylnaczcionkaakapitu"/>
    <w:uiPriority w:val="99"/>
    <w:semiHidden/>
    <w:rsid w:val="0043336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449671">
      <w:marLeft w:val="0"/>
      <w:marRight w:val="0"/>
      <w:marTop w:val="0"/>
      <w:marBottom w:val="0"/>
      <w:divBdr>
        <w:top w:val="none" w:sz="0" w:space="0" w:color="auto"/>
        <w:left w:val="none" w:sz="0" w:space="0" w:color="auto"/>
        <w:bottom w:val="none" w:sz="0" w:space="0" w:color="auto"/>
        <w:right w:val="none" w:sz="0" w:space="0" w:color="auto"/>
      </w:divBdr>
    </w:div>
    <w:div w:id="922449672">
      <w:marLeft w:val="0"/>
      <w:marRight w:val="0"/>
      <w:marTop w:val="0"/>
      <w:marBottom w:val="0"/>
      <w:divBdr>
        <w:top w:val="none" w:sz="0" w:space="0" w:color="auto"/>
        <w:left w:val="none" w:sz="0" w:space="0" w:color="auto"/>
        <w:bottom w:val="none" w:sz="0" w:space="0" w:color="auto"/>
        <w:right w:val="none" w:sz="0" w:space="0" w:color="auto"/>
      </w:divBdr>
    </w:div>
    <w:div w:id="922449673">
      <w:marLeft w:val="0"/>
      <w:marRight w:val="0"/>
      <w:marTop w:val="0"/>
      <w:marBottom w:val="0"/>
      <w:divBdr>
        <w:top w:val="none" w:sz="0" w:space="0" w:color="auto"/>
        <w:left w:val="none" w:sz="0" w:space="0" w:color="auto"/>
        <w:bottom w:val="none" w:sz="0" w:space="0" w:color="auto"/>
        <w:right w:val="none" w:sz="0" w:space="0" w:color="auto"/>
      </w:divBdr>
    </w:div>
    <w:div w:id="922449674">
      <w:marLeft w:val="0"/>
      <w:marRight w:val="0"/>
      <w:marTop w:val="0"/>
      <w:marBottom w:val="0"/>
      <w:divBdr>
        <w:top w:val="none" w:sz="0" w:space="0" w:color="auto"/>
        <w:left w:val="none" w:sz="0" w:space="0" w:color="auto"/>
        <w:bottom w:val="none" w:sz="0" w:space="0" w:color="auto"/>
        <w:right w:val="none" w:sz="0" w:space="0" w:color="auto"/>
      </w:divBdr>
    </w:div>
    <w:div w:id="922449675">
      <w:marLeft w:val="0"/>
      <w:marRight w:val="0"/>
      <w:marTop w:val="0"/>
      <w:marBottom w:val="0"/>
      <w:divBdr>
        <w:top w:val="none" w:sz="0" w:space="0" w:color="auto"/>
        <w:left w:val="none" w:sz="0" w:space="0" w:color="auto"/>
        <w:bottom w:val="none" w:sz="0" w:space="0" w:color="auto"/>
        <w:right w:val="none" w:sz="0" w:space="0" w:color="auto"/>
      </w:divBdr>
    </w:div>
    <w:div w:id="9224496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2817</Words>
  <Characters>16907</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Załącznik nr 1 do wniosku nr PR/5/2016</vt:lpstr>
    </vt:vector>
  </TitlesOfParts>
  <Company>Hewlett-Packard Company</Company>
  <LinksUpToDate>false</LinksUpToDate>
  <CharactersWithSpaces>19685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wniosku nr PR/5/2016</dc:title>
  <dc:creator>lidia wójtowicz</dc:creator>
  <cp:lastModifiedBy>Sebastian Rzodkiewicz</cp:lastModifiedBy>
  <cp:revision>3</cp:revision>
  <cp:lastPrinted>2018-03-02T13:20:00Z</cp:lastPrinted>
  <dcterms:created xsi:type="dcterms:W3CDTF">2018-03-02T13:27:00Z</dcterms:created>
  <dcterms:modified xsi:type="dcterms:W3CDTF">2018-03-14T08:07:00Z</dcterms:modified>
</cp:coreProperties>
</file>