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834A1B" w:rsidRPr="00211A9A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Arial" w:hAnsi="Arial" w:cs="Arial"/>
          <w:sz w:val="18"/>
          <w:szCs w:val="18"/>
        </w:rPr>
        <w:t>Załącznik nr 1</w:t>
      </w:r>
      <w:r w:rsidR="00BD06F8" w:rsidRPr="00211A9A">
        <w:rPr>
          <w:rFonts w:ascii="Arial" w:hAnsi="Arial" w:cs="Arial"/>
          <w:sz w:val="18"/>
          <w:szCs w:val="18"/>
        </w:rPr>
        <w:t>5</w:t>
      </w:r>
      <w:r w:rsidR="00834A1B" w:rsidRPr="00211A9A">
        <w:rPr>
          <w:rFonts w:ascii="Arial" w:hAnsi="Arial" w:cs="Arial"/>
          <w:sz w:val="18"/>
          <w:szCs w:val="18"/>
        </w:rPr>
        <w:t xml:space="preserve"> do</w:t>
      </w:r>
      <w:r w:rsidR="0074547A" w:rsidRPr="00211A9A">
        <w:rPr>
          <w:rFonts w:ascii="Arial" w:hAnsi="Arial" w:cs="Arial"/>
          <w:sz w:val="18"/>
          <w:szCs w:val="18"/>
        </w:rPr>
        <w:t xml:space="preserve"> Regulaminu </w:t>
      </w:r>
      <w:r w:rsidR="0074547A" w:rsidRPr="00211A9A">
        <w:rPr>
          <w:rFonts w:ascii="Arial" w:hAnsi="Arial" w:cs="Arial"/>
          <w:sz w:val="18"/>
          <w:szCs w:val="18"/>
        </w:rPr>
        <w:br/>
        <w:t>konkursu nr RPWM.</w:t>
      </w:r>
      <w:r w:rsidR="006A27C1" w:rsidRPr="00211A9A">
        <w:rPr>
          <w:rFonts w:ascii="Arial" w:hAnsi="Arial" w:cs="Arial"/>
          <w:sz w:val="18"/>
          <w:szCs w:val="18"/>
        </w:rPr>
        <w:t>09.02</w:t>
      </w:r>
      <w:r w:rsidR="00D45618" w:rsidRPr="00211A9A">
        <w:rPr>
          <w:rFonts w:ascii="Arial" w:hAnsi="Arial" w:cs="Arial"/>
          <w:sz w:val="18"/>
          <w:szCs w:val="18"/>
        </w:rPr>
        <w:t>.00</w:t>
      </w:r>
      <w:r w:rsidR="00834A1B" w:rsidRPr="00211A9A">
        <w:rPr>
          <w:rFonts w:ascii="Arial" w:hAnsi="Arial" w:cs="Arial"/>
          <w:sz w:val="18"/>
          <w:szCs w:val="18"/>
        </w:rPr>
        <w:t>-IZ.00-28-001/16(…)</w:t>
      </w:r>
      <w:r w:rsidR="00834A1B" w:rsidRPr="00211A9A">
        <w:rPr>
          <w:rFonts w:ascii="Arial" w:hAnsi="Arial" w:cs="Arial"/>
          <w:sz w:val="18"/>
          <w:szCs w:val="18"/>
        </w:rPr>
        <w:br/>
        <w:t xml:space="preserve">z 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C647CE">
        <w:rPr>
          <w:rFonts w:ascii="Arial" w:hAnsi="Arial" w:cs="Arial"/>
          <w:sz w:val="18"/>
          <w:szCs w:val="18"/>
        </w:rPr>
        <w:t>28 kwietnia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834A1B" w:rsidRPr="00211A9A">
        <w:rPr>
          <w:rFonts w:ascii="Arial" w:hAnsi="Arial" w:cs="Arial"/>
          <w:sz w:val="18"/>
          <w:szCs w:val="18"/>
        </w:rPr>
        <w:t>2016 r.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C647CE">
        <w:rPr>
          <w:rFonts w:ascii="Arial" w:hAnsi="Arial" w:cs="Arial"/>
          <w:sz w:val="20"/>
          <w:szCs w:val="20"/>
        </w:rPr>
        <w:t>28 kwietnia</w:t>
      </w:r>
      <w:r w:rsidR="00DB54DF" w:rsidRPr="00211A9A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8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AD5AC0" w:rsidRPr="00211A9A" w:rsidRDefault="00AD5AC0" w:rsidP="00AD5AC0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</w:t>
      </w:r>
      <w:r>
        <w:rPr>
          <w:rFonts w:ascii="Calibri" w:hAnsi="Calibri" w:cs="Arial"/>
          <w:sz w:val="20"/>
          <w:szCs w:val="20"/>
        </w:rPr>
        <w:t xml:space="preserve">dokonywanie oceny wniosku przez Eksperta poza siedzibą </w:t>
      </w:r>
      <w:r>
        <w:rPr>
          <w:rFonts w:asciiTheme="minorHAnsi" w:hAnsiTheme="minorHAnsi" w:cs="Arial"/>
          <w:color w:val="000000"/>
          <w:sz w:val="20"/>
          <w:szCs w:val="20"/>
        </w:rPr>
        <w:t>Urzędu Marszałkowskiego Województwa Warmińsko-Mazurskiego w Olsztynie na podstawie elektronicznej wersji wniosku                      i załączników przesłanej Ekspertowi przez Sekretarza KOP po uzyskaniu Oświadczenia o poufności                    i bezstronności Eksperta oraz Oświadczenia o braku powiazań między Ekspertami w wersji papierowej. Decyzja, w jaki sposób Ekspert dokonuje oceny podejmowana jest przez Przewodniczącego KOP.</w:t>
      </w:r>
    </w:p>
    <w:p w:rsidR="00AD5AC0" w:rsidRPr="00211A9A" w:rsidRDefault="00AD5AC0" w:rsidP="00AD5AC0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AD5AC0" w:rsidRPr="00211A9A" w:rsidRDefault="00AD5AC0" w:rsidP="00AD5AC0">
      <w:pPr>
        <w:pStyle w:val="Tekstpodstawowywcity"/>
        <w:spacing w:after="0"/>
        <w:ind w:left="720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Termin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r w:rsidRPr="00211A9A">
        <w:rPr>
          <w:rFonts w:ascii="Calibri" w:hAnsi="Calibri" w:cs="Arial"/>
          <w:bCs/>
          <w:sz w:val="20"/>
          <w:szCs w:val="20"/>
        </w:rPr>
        <w:t>późn.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 xml:space="preserve">i 2 ustawy z dnia 14 czerwca 1960 r. Kodeks postępowania administracyjnego (t.j.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Sporządził:</w:t>
      </w:r>
      <w:r w:rsidRPr="00211A9A">
        <w:rPr>
          <w:rFonts w:ascii="Arial" w:hAnsi="Arial" w:cs="Arial"/>
          <w:sz w:val="20"/>
          <w:szCs w:val="20"/>
        </w:rPr>
        <w:tab/>
        <w:t>…………………………….</w:t>
      </w:r>
    </w:p>
    <w:p w:rsidR="00834A1B" w:rsidRPr="00211A9A" w:rsidRDefault="00834A1B" w:rsidP="006C2692">
      <w:pPr>
        <w:spacing w:after="120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Sprawdził:</w:t>
      </w:r>
      <w:r w:rsidRPr="00211A9A">
        <w:rPr>
          <w:rFonts w:ascii="Arial" w:hAnsi="Arial" w:cs="Arial"/>
          <w:sz w:val="20"/>
          <w:szCs w:val="20"/>
        </w:rPr>
        <w:tab/>
        <w:t>…………………………….</w:t>
      </w:r>
    </w:p>
    <w:p w:rsidR="00834A1B" w:rsidRPr="00211A9A" w:rsidRDefault="00834A1B" w:rsidP="00ED7652">
      <w:pPr>
        <w:spacing w:after="120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Zatwierdził:</w:t>
      </w:r>
      <w:r w:rsidRPr="00211A9A">
        <w:rPr>
          <w:rFonts w:ascii="Arial" w:hAnsi="Arial" w:cs="Arial"/>
          <w:sz w:val="20"/>
          <w:szCs w:val="20"/>
        </w:rPr>
        <w:tab/>
        <w:t>…………………………….</w:t>
      </w: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D" w:rsidRDefault="004E0CCD" w:rsidP="00667027">
      <w:r>
        <w:separator/>
      </w:r>
    </w:p>
  </w:endnote>
  <w:endnote w:type="continuationSeparator" w:id="0">
    <w:p w:rsidR="004E0CCD" w:rsidRDefault="004E0CCD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8C16FF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AD5A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D" w:rsidRDefault="004E0CCD" w:rsidP="00667027">
      <w:r>
        <w:separator/>
      </w:r>
    </w:p>
  </w:footnote>
  <w:footnote w:type="continuationSeparator" w:id="0">
    <w:p w:rsidR="004E0CCD" w:rsidRDefault="004E0CCD" w:rsidP="006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45F9"/>
    <w:rsid w:val="004D5EED"/>
    <w:rsid w:val="004D7188"/>
    <w:rsid w:val="004D7573"/>
    <w:rsid w:val="004E0CCD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E2F"/>
    <w:rsid w:val="008C16F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A29C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5AC0"/>
    <w:rsid w:val="00AD7E84"/>
    <w:rsid w:val="00AE11F8"/>
    <w:rsid w:val="00AE3342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7CE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2C7EC-6227-4CFA-BD77-AB72E5D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o.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4859</Words>
  <Characters>29154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Marek Białogrzywy</cp:lastModifiedBy>
  <cp:revision>18</cp:revision>
  <cp:lastPrinted>2016-04-27T06:26:00Z</cp:lastPrinted>
  <dcterms:created xsi:type="dcterms:W3CDTF">2016-04-12T10:13:00Z</dcterms:created>
  <dcterms:modified xsi:type="dcterms:W3CDTF">2016-07-11T12:37:00Z</dcterms:modified>
</cp:coreProperties>
</file>