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78" w:rsidRPr="00B8571C" w:rsidRDefault="003D7278" w:rsidP="004B7C4A">
      <w:pPr>
        <w:pStyle w:val="Nagwek1"/>
        <w:spacing w:before="36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484372065"/>
      <w:r w:rsidRPr="00B8571C">
        <w:rPr>
          <w:rFonts w:ascii="Arial" w:hAnsi="Arial" w:cs="Arial"/>
          <w:b/>
          <w:color w:val="auto"/>
          <w:sz w:val="24"/>
          <w:szCs w:val="24"/>
        </w:rPr>
        <w:t>Postęp we wdrażaniu RPO WiM 2014</w:t>
      </w:r>
      <w:r w:rsidR="005D6EF8">
        <w:rPr>
          <w:rFonts w:ascii="Arial" w:hAnsi="Arial" w:cs="Arial"/>
          <w:b/>
          <w:color w:val="auto"/>
          <w:sz w:val="24"/>
          <w:szCs w:val="24"/>
        </w:rPr>
        <w:t>–2020</w:t>
      </w:r>
      <w:r w:rsidR="005D6EF8">
        <w:rPr>
          <w:rFonts w:ascii="Arial" w:hAnsi="Arial" w:cs="Arial"/>
          <w:b/>
          <w:color w:val="auto"/>
          <w:sz w:val="24"/>
          <w:szCs w:val="24"/>
        </w:rPr>
        <w:br/>
        <w:t>P</w:t>
      </w:r>
      <w:r w:rsidR="00521A31" w:rsidRPr="00B8571C">
        <w:rPr>
          <w:rFonts w:ascii="Arial" w:hAnsi="Arial" w:cs="Arial"/>
          <w:b/>
          <w:color w:val="auto"/>
          <w:sz w:val="24"/>
          <w:szCs w:val="24"/>
        </w:rPr>
        <w:t>odpisane umowy o</w:t>
      </w:r>
      <w:r w:rsidR="00B8571C" w:rsidRPr="00B857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B8571C">
        <w:rPr>
          <w:rFonts w:ascii="Arial" w:hAnsi="Arial" w:cs="Arial"/>
          <w:b/>
          <w:color w:val="auto"/>
          <w:sz w:val="24"/>
          <w:szCs w:val="24"/>
        </w:rPr>
        <w:t>dofinansowanie</w:t>
      </w:r>
      <w:bookmarkEnd w:id="0"/>
    </w:p>
    <w:p w:rsidR="00521A31" w:rsidRDefault="003D7278" w:rsidP="004B7C4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571C">
        <w:rPr>
          <w:rFonts w:ascii="Arial" w:hAnsi="Arial" w:cs="Arial"/>
          <w:sz w:val="24"/>
          <w:szCs w:val="24"/>
        </w:rPr>
        <w:t xml:space="preserve">Do końca czerwca 2017 r. wartość dofinansowania UE podpisanych umów </w:t>
      </w:r>
      <w:r w:rsidR="00B8571C" w:rsidRPr="00B8571C">
        <w:rPr>
          <w:rFonts w:ascii="Arial" w:hAnsi="Arial" w:cs="Arial"/>
          <w:sz w:val="24"/>
          <w:szCs w:val="24"/>
        </w:rPr>
        <w:br/>
      </w:r>
      <w:r w:rsidRPr="00B8571C">
        <w:rPr>
          <w:rFonts w:ascii="Arial" w:hAnsi="Arial" w:cs="Arial"/>
          <w:sz w:val="24"/>
          <w:szCs w:val="24"/>
        </w:rPr>
        <w:t xml:space="preserve">w ramach </w:t>
      </w:r>
      <w:r w:rsidR="00521A31" w:rsidRPr="00B8571C">
        <w:rPr>
          <w:rFonts w:ascii="Arial" w:hAnsi="Arial" w:cs="Arial"/>
          <w:sz w:val="24"/>
          <w:szCs w:val="24"/>
        </w:rPr>
        <w:t>Programu</w:t>
      </w:r>
      <w:r w:rsidRPr="00B8571C">
        <w:rPr>
          <w:rFonts w:ascii="Arial" w:hAnsi="Arial" w:cs="Arial"/>
          <w:sz w:val="24"/>
          <w:szCs w:val="24"/>
        </w:rPr>
        <w:t xml:space="preserve"> wyniosła ok. 1,45</w:t>
      </w:r>
      <w:r w:rsidR="00B8571C" w:rsidRPr="00B8571C">
        <w:rPr>
          <w:rFonts w:ascii="Arial" w:hAnsi="Arial" w:cs="Arial"/>
          <w:sz w:val="24"/>
          <w:szCs w:val="24"/>
        </w:rPr>
        <w:t xml:space="preserve"> mld zł. Kwota ta</w:t>
      </w:r>
      <w:r w:rsidRPr="00B8571C">
        <w:rPr>
          <w:rFonts w:ascii="Arial" w:hAnsi="Arial" w:cs="Arial"/>
          <w:sz w:val="24"/>
          <w:szCs w:val="24"/>
        </w:rPr>
        <w:t xml:space="preserve"> stanowi to ok. 20,1% </w:t>
      </w:r>
      <w:r w:rsidR="00B8571C" w:rsidRPr="00B8571C">
        <w:rPr>
          <w:rFonts w:ascii="Arial" w:hAnsi="Arial" w:cs="Arial"/>
          <w:sz w:val="24"/>
          <w:szCs w:val="24"/>
        </w:rPr>
        <w:t>środków, jakimi dysponuje</w:t>
      </w:r>
      <w:r w:rsidRPr="00B8571C">
        <w:rPr>
          <w:rFonts w:ascii="Arial" w:hAnsi="Arial" w:cs="Arial"/>
          <w:sz w:val="24"/>
          <w:szCs w:val="24"/>
        </w:rPr>
        <w:t xml:space="preserve"> RPO WiM 2014</w:t>
      </w:r>
      <w:r w:rsidR="005D6EF8">
        <w:rPr>
          <w:rFonts w:ascii="Arial" w:hAnsi="Arial" w:cs="Arial"/>
          <w:sz w:val="24"/>
          <w:szCs w:val="24"/>
        </w:rPr>
        <w:t>–</w:t>
      </w:r>
      <w:r w:rsidRPr="00B8571C">
        <w:rPr>
          <w:rFonts w:ascii="Arial" w:hAnsi="Arial" w:cs="Arial"/>
          <w:sz w:val="24"/>
          <w:szCs w:val="24"/>
        </w:rPr>
        <w:t>2020</w:t>
      </w:r>
      <w:r w:rsidR="00B8571C" w:rsidRPr="00B8571C">
        <w:rPr>
          <w:rFonts w:ascii="Arial" w:hAnsi="Arial" w:cs="Arial"/>
          <w:sz w:val="24"/>
          <w:szCs w:val="24"/>
        </w:rPr>
        <w:t>.</w:t>
      </w:r>
      <w:r w:rsidRPr="00B8571C">
        <w:rPr>
          <w:rFonts w:ascii="Arial" w:hAnsi="Arial" w:cs="Arial"/>
          <w:sz w:val="24"/>
          <w:szCs w:val="24"/>
        </w:rPr>
        <w:t xml:space="preserve"> </w:t>
      </w:r>
    </w:p>
    <w:p w:rsidR="004B7C4A" w:rsidRPr="00B8571C" w:rsidRDefault="004B7C4A" w:rsidP="004B7C4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8571C" w:rsidRPr="00B8571C" w:rsidRDefault="00B8571C" w:rsidP="004B7C4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D7278" w:rsidRPr="004B7C4A" w:rsidRDefault="003D7278" w:rsidP="004B7C4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B7C4A">
        <w:rPr>
          <w:rFonts w:ascii="Arial" w:hAnsi="Arial" w:cs="Arial"/>
          <w:b/>
          <w:sz w:val="20"/>
          <w:szCs w:val="20"/>
        </w:rPr>
        <w:t xml:space="preserve">Odsetek wartości dofinansowania UE podpisanych umów w stosunku do alokacji </w:t>
      </w:r>
      <w:bookmarkStart w:id="1" w:name="_GoBack"/>
      <w:bookmarkEnd w:id="1"/>
      <w:r w:rsidRPr="004B7C4A">
        <w:rPr>
          <w:rFonts w:ascii="Arial" w:hAnsi="Arial" w:cs="Arial"/>
          <w:b/>
          <w:sz w:val="20"/>
          <w:szCs w:val="20"/>
        </w:rPr>
        <w:t>RPO WiM 2014</w:t>
      </w:r>
      <w:r w:rsidR="005D6EF8">
        <w:rPr>
          <w:rFonts w:ascii="Arial" w:hAnsi="Arial" w:cs="Arial"/>
          <w:b/>
          <w:sz w:val="20"/>
          <w:szCs w:val="20"/>
        </w:rPr>
        <w:t>–</w:t>
      </w:r>
      <w:r w:rsidRPr="004B7C4A">
        <w:rPr>
          <w:rFonts w:ascii="Arial" w:hAnsi="Arial" w:cs="Arial"/>
          <w:b/>
          <w:sz w:val="20"/>
          <w:szCs w:val="20"/>
        </w:rPr>
        <w:t>2020</w:t>
      </w:r>
    </w:p>
    <w:p w:rsidR="003D7278" w:rsidRPr="00B8571C" w:rsidRDefault="003D7278" w:rsidP="004B7C4A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B8571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953250" cy="41910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1A31" w:rsidRPr="00B8571C" w:rsidRDefault="00521A31" w:rsidP="004B7C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1A31" w:rsidRPr="00B8571C" w:rsidRDefault="00521A31" w:rsidP="004B7C4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7C4A" w:rsidRDefault="00521A31" w:rsidP="004B7C4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571C">
        <w:rPr>
          <w:rFonts w:ascii="Arial" w:hAnsi="Arial" w:cs="Arial"/>
          <w:sz w:val="24"/>
          <w:szCs w:val="24"/>
        </w:rPr>
        <w:t>Wysokość wkładu środków Unii Europejskiej w ramach RPO WiM 2014</w:t>
      </w:r>
      <w:r w:rsidR="005D6EF8">
        <w:rPr>
          <w:rFonts w:ascii="Arial" w:hAnsi="Arial" w:cs="Arial"/>
          <w:sz w:val="24"/>
          <w:szCs w:val="24"/>
        </w:rPr>
        <w:t>–</w:t>
      </w:r>
      <w:r w:rsidRPr="00B8571C">
        <w:rPr>
          <w:rFonts w:ascii="Arial" w:hAnsi="Arial" w:cs="Arial"/>
          <w:sz w:val="24"/>
          <w:szCs w:val="24"/>
        </w:rPr>
        <w:t xml:space="preserve">2020 wynosi </w:t>
      </w:r>
      <w:r w:rsidR="00B8571C">
        <w:rPr>
          <w:rFonts w:ascii="Arial" w:hAnsi="Arial" w:cs="Arial"/>
          <w:sz w:val="24"/>
          <w:szCs w:val="24"/>
        </w:rPr>
        <w:t xml:space="preserve">łącznie </w:t>
      </w:r>
      <w:r w:rsidRPr="005D6EF8">
        <w:rPr>
          <w:rFonts w:ascii="Arial" w:hAnsi="Arial" w:cs="Arial"/>
          <w:b/>
          <w:sz w:val="24"/>
          <w:szCs w:val="24"/>
        </w:rPr>
        <w:t>1 728 272 095 euro</w:t>
      </w:r>
      <w:r w:rsidRPr="00B8571C">
        <w:rPr>
          <w:rFonts w:ascii="Arial" w:hAnsi="Arial" w:cs="Arial"/>
          <w:sz w:val="24"/>
          <w:szCs w:val="24"/>
        </w:rPr>
        <w:t>. Zgodnie z aktualnym kursem wymiany walut stanowi to ok.</w:t>
      </w:r>
      <w:r w:rsidRPr="005D6EF8">
        <w:rPr>
          <w:rFonts w:ascii="Arial" w:hAnsi="Arial" w:cs="Arial"/>
          <w:b/>
          <w:sz w:val="24"/>
          <w:szCs w:val="24"/>
        </w:rPr>
        <w:t xml:space="preserve"> 7,2 mld zł</w:t>
      </w:r>
      <w:r w:rsidRPr="00B8571C">
        <w:rPr>
          <w:rFonts w:ascii="Arial" w:hAnsi="Arial" w:cs="Arial"/>
          <w:sz w:val="24"/>
          <w:szCs w:val="24"/>
        </w:rPr>
        <w:t xml:space="preserve">. Wartość Europejskiego Funduszu Rozwoju Regionalnego </w:t>
      </w:r>
      <w:r w:rsidR="00B8571C">
        <w:rPr>
          <w:rFonts w:ascii="Arial" w:hAnsi="Arial" w:cs="Arial"/>
          <w:sz w:val="24"/>
          <w:szCs w:val="24"/>
        </w:rPr>
        <w:t>obejmuje</w:t>
      </w:r>
      <w:r w:rsidRPr="00B8571C">
        <w:rPr>
          <w:rFonts w:ascii="Arial" w:hAnsi="Arial" w:cs="Arial"/>
          <w:sz w:val="24"/>
          <w:szCs w:val="24"/>
        </w:rPr>
        <w:t xml:space="preserve"> ok. 71,9% </w:t>
      </w:r>
      <w:r w:rsidR="00B8571C">
        <w:rPr>
          <w:rFonts w:ascii="Arial" w:hAnsi="Arial" w:cs="Arial"/>
          <w:sz w:val="24"/>
          <w:szCs w:val="24"/>
        </w:rPr>
        <w:t xml:space="preserve">funduszy dostępnych w ramach </w:t>
      </w:r>
      <w:r w:rsidRPr="00B8571C">
        <w:rPr>
          <w:rFonts w:ascii="Arial" w:hAnsi="Arial" w:cs="Arial"/>
          <w:sz w:val="24"/>
          <w:szCs w:val="24"/>
        </w:rPr>
        <w:t>RPO WiM 2014</w:t>
      </w:r>
      <w:r w:rsidR="005D6EF8">
        <w:rPr>
          <w:rFonts w:ascii="Arial" w:hAnsi="Arial" w:cs="Arial"/>
          <w:sz w:val="24"/>
          <w:szCs w:val="24"/>
        </w:rPr>
        <w:t>–</w:t>
      </w:r>
      <w:r w:rsidRPr="00B8571C">
        <w:rPr>
          <w:rFonts w:ascii="Arial" w:hAnsi="Arial" w:cs="Arial"/>
          <w:sz w:val="24"/>
          <w:szCs w:val="24"/>
        </w:rPr>
        <w:t xml:space="preserve">2020, </w:t>
      </w:r>
      <w:r w:rsidR="004B7C4A">
        <w:rPr>
          <w:rFonts w:ascii="Arial" w:hAnsi="Arial" w:cs="Arial"/>
          <w:sz w:val="24"/>
          <w:szCs w:val="24"/>
        </w:rPr>
        <w:t xml:space="preserve">resztę, czyli 28,1% stanowią środki </w:t>
      </w:r>
      <w:r w:rsidRPr="00B8571C">
        <w:rPr>
          <w:rFonts w:ascii="Arial" w:hAnsi="Arial" w:cs="Arial"/>
          <w:sz w:val="24"/>
          <w:szCs w:val="24"/>
        </w:rPr>
        <w:t>Europejskiego Funduszu Społecznego</w:t>
      </w:r>
      <w:r w:rsidR="004B7C4A">
        <w:rPr>
          <w:rFonts w:ascii="Arial" w:hAnsi="Arial" w:cs="Arial"/>
          <w:sz w:val="24"/>
          <w:szCs w:val="24"/>
        </w:rPr>
        <w:t>.</w:t>
      </w:r>
      <w:r w:rsidRPr="00B8571C">
        <w:rPr>
          <w:rFonts w:ascii="Arial" w:hAnsi="Arial" w:cs="Arial"/>
          <w:sz w:val="24"/>
          <w:szCs w:val="24"/>
        </w:rPr>
        <w:t xml:space="preserve"> </w:t>
      </w:r>
    </w:p>
    <w:p w:rsidR="00521A31" w:rsidRPr="00B8571C" w:rsidRDefault="00521A31" w:rsidP="004B7C4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571C">
        <w:rPr>
          <w:rFonts w:ascii="Arial" w:hAnsi="Arial" w:cs="Arial"/>
          <w:sz w:val="24"/>
          <w:szCs w:val="24"/>
        </w:rPr>
        <w:t>Najwięcej środków wdraża Departament Europejskiego Funduszu Rozwoju Regionalnego (71,9% alokacji RPO WiM 2014</w:t>
      </w:r>
      <w:r w:rsidR="005D6EF8">
        <w:rPr>
          <w:rFonts w:ascii="Arial" w:hAnsi="Arial" w:cs="Arial"/>
          <w:sz w:val="24"/>
          <w:szCs w:val="24"/>
        </w:rPr>
        <w:t>–</w:t>
      </w:r>
      <w:r w:rsidRPr="00B8571C">
        <w:rPr>
          <w:rFonts w:ascii="Arial" w:hAnsi="Arial" w:cs="Arial"/>
          <w:sz w:val="24"/>
          <w:szCs w:val="24"/>
        </w:rPr>
        <w:t xml:space="preserve">2020), </w:t>
      </w:r>
      <w:r w:rsidR="004B7C4A">
        <w:rPr>
          <w:rFonts w:ascii="Arial" w:hAnsi="Arial" w:cs="Arial"/>
          <w:sz w:val="24"/>
          <w:szCs w:val="24"/>
        </w:rPr>
        <w:t>a</w:t>
      </w:r>
      <w:r w:rsidRPr="00B8571C">
        <w:rPr>
          <w:rFonts w:ascii="Arial" w:hAnsi="Arial" w:cs="Arial"/>
          <w:sz w:val="24"/>
          <w:szCs w:val="24"/>
        </w:rPr>
        <w:t xml:space="preserve"> najmniej Departament Polityki Regionalnej (3,4% alokacji RPO WiM 2014</w:t>
      </w:r>
      <w:r w:rsidR="005D6EF8">
        <w:rPr>
          <w:rFonts w:ascii="Arial" w:hAnsi="Arial" w:cs="Arial"/>
          <w:sz w:val="24"/>
          <w:szCs w:val="24"/>
        </w:rPr>
        <w:t>–</w:t>
      </w:r>
      <w:r w:rsidRPr="00B8571C">
        <w:rPr>
          <w:rFonts w:ascii="Arial" w:hAnsi="Arial" w:cs="Arial"/>
          <w:sz w:val="24"/>
          <w:szCs w:val="24"/>
        </w:rPr>
        <w:t xml:space="preserve">2020 </w:t>
      </w:r>
      <w:r w:rsidR="005D6EF8">
        <w:rPr>
          <w:rFonts w:ascii="Arial" w:hAnsi="Arial" w:cs="Arial"/>
          <w:sz w:val="24"/>
          <w:szCs w:val="24"/>
        </w:rPr>
        <w:t>–</w:t>
      </w:r>
      <w:r w:rsidRPr="00B8571C">
        <w:rPr>
          <w:rFonts w:ascii="Arial" w:hAnsi="Arial" w:cs="Arial"/>
          <w:sz w:val="24"/>
          <w:szCs w:val="24"/>
        </w:rPr>
        <w:t xml:space="preserve"> w zakresie Pomocy technicznej).</w:t>
      </w:r>
    </w:p>
    <w:p w:rsidR="005D6EF8" w:rsidRDefault="005D6EF8" w:rsidP="004B7C4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D6EF8" w:rsidRPr="00B8571C" w:rsidRDefault="005D6EF8" w:rsidP="004B7C4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442A" w:rsidRDefault="00AF442A" w:rsidP="004B7C4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21A31" w:rsidRPr="004B7C4A" w:rsidRDefault="00521A31" w:rsidP="004B7C4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B7C4A">
        <w:rPr>
          <w:rFonts w:ascii="Arial" w:hAnsi="Arial" w:cs="Arial"/>
          <w:b/>
          <w:sz w:val="20"/>
          <w:szCs w:val="20"/>
        </w:rPr>
        <w:t>Alokacja RPO WiM 2014</w:t>
      </w:r>
      <w:r w:rsidR="005D6EF8">
        <w:rPr>
          <w:rFonts w:ascii="Arial" w:hAnsi="Arial" w:cs="Arial"/>
          <w:b/>
          <w:sz w:val="20"/>
          <w:szCs w:val="20"/>
        </w:rPr>
        <w:t>–</w:t>
      </w:r>
      <w:r w:rsidRPr="004B7C4A">
        <w:rPr>
          <w:rFonts w:ascii="Arial" w:hAnsi="Arial" w:cs="Arial"/>
          <w:b/>
          <w:sz w:val="20"/>
          <w:szCs w:val="20"/>
        </w:rPr>
        <w:t>2020</w:t>
      </w:r>
      <w:r w:rsidRPr="00B8571C">
        <w:rPr>
          <w:rFonts w:ascii="Arial" w:hAnsi="Arial" w:cs="Arial"/>
          <w:b/>
          <w:sz w:val="20"/>
          <w:szCs w:val="20"/>
        </w:rPr>
        <w:fldChar w:fldCharType="begin"/>
      </w:r>
      <w:r w:rsidRPr="004B7C4A">
        <w:rPr>
          <w:rFonts w:ascii="Arial" w:hAnsi="Arial" w:cs="Arial"/>
          <w:b/>
          <w:sz w:val="20"/>
          <w:szCs w:val="20"/>
        </w:rPr>
        <w:instrText xml:space="preserve"> LINK Excel.Sheet.12 "C:\\Users\\t.raszkowski\\Desktop\\Informacja miesięczna\\Nowa miesięczna\\Miesięczna.xlsx" RPO!W7K1:W17K7 \a \f 5 \h  \* MERGEFORMAT </w:instrText>
      </w:r>
      <w:r w:rsidRPr="00B8571C">
        <w:rPr>
          <w:rFonts w:ascii="Arial" w:hAnsi="Arial" w:cs="Arial"/>
          <w:b/>
          <w:sz w:val="20"/>
          <w:szCs w:val="20"/>
        </w:rPr>
        <w:fldChar w:fldCharType="separate"/>
      </w:r>
    </w:p>
    <w:tbl>
      <w:tblPr>
        <w:tblStyle w:val="Tabela-Siatka"/>
        <w:tblW w:w="7520" w:type="dxa"/>
        <w:jc w:val="center"/>
        <w:tblLook w:val="04A0" w:firstRow="1" w:lastRow="0" w:firstColumn="1" w:lastColumn="0" w:noHBand="0" w:noVBand="1"/>
      </w:tblPr>
      <w:tblGrid>
        <w:gridCol w:w="2000"/>
        <w:gridCol w:w="2200"/>
        <w:gridCol w:w="2060"/>
        <w:gridCol w:w="1260"/>
      </w:tblGrid>
      <w:tr w:rsidR="00521A31" w:rsidRPr="00B8571C" w:rsidTr="00970B79">
        <w:trPr>
          <w:trHeight w:val="559"/>
          <w:jc w:val="center"/>
        </w:trPr>
        <w:tc>
          <w:tcPr>
            <w:tcW w:w="200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Alokacja RPO</w:t>
            </w:r>
          </w:p>
        </w:tc>
        <w:tc>
          <w:tcPr>
            <w:tcW w:w="220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EURO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PLN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% alokacji RPO</w:t>
            </w:r>
          </w:p>
        </w:tc>
      </w:tr>
      <w:tr w:rsidR="00521A31" w:rsidRPr="00B8571C" w:rsidTr="00970B79">
        <w:trPr>
          <w:trHeight w:val="319"/>
          <w:jc w:val="center"/>
        </w:trPr>
        <w:tc>
          <w:tcPr>
            <w:tcW w:w="200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Dep. EFRR</w:t>
            </w:r>
          </w:p>
        </w:tc>
        <w:tc>
          <w:tcPr>
            <w:tcW w:w="220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894 520 992</w:t>
            </w:r>
          </w:p>
        </w:tc>
        <w:tc>
          <w:tcPr>
            <w:tcW w:w="206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3 735 519 663</w:t>
            </w:r>
          </w:p>
        </w:tc>
        <w:tc>
          <w:tcPr>
            <w:tcW w:w="126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51,8%</w:t>
            </w:r>
          </w:p>
        </w:tc>
      </w:tr>
      <w:tr w:rsidR="00521A31" w:rsidRPr="00B8571C" w:rsidTr="00970B79">
        <w:trPr>
          <w:trHeight w:val="319"/>
          <w:jc w:val="center"/>
        </w:trPr>
        <w:tc>
          <w:tcPr>
            <w:tcW w:w="200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WFOŚiGW</w:t>
            </w:r>
          </w:p>
        </w:tc>
        <w:tc>
          <w:tcPr>
            <w:tcW w:w="220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206 070 549</w:t>
            </w:r>
          </w:p>
        </w:tc>
        <w:tc>
          <w:tcPr>
            <w:tcW w:w="206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860 550 613</w:t>
            </w:r>
          </w:p>
        </w:tc>
        <w:tc>
          <w:tcPr>
            <w:tcW w:w="126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11,9%</w:t>
            </w:r>
          </w:p>
        </w:tc>
      </w:tr>
      <w:tr w:rsidR="00521A31" w:rsidRPr="00B8571C" w:rsidTr="00970B79">
        <w:trPr>
          <w:trHeight w:val="319"/>
          <w:jc w:val="center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WMARR S.A.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141 525 955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591 012 388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8,2%</w:t>
            </w:r>
          </w:p>
        </w:tc>
      </w:tr>
      <w:tr w:rsidR="00521A31" w:rsidRPr="00B8571C" w:rsidTr="00970B79">
        <w:trPr>
          <w:trHeight w:val="319"/>
          <w:jc w:val="center"/>
        </w:trPr>
        <w:tc>
          <w:tcPr>
            <w:tcW w:w="200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EFRR</w:t>
            </w:r>
          </w:p>
        </w:tc>
        <w:tc>
          <w:tcPr>
            <w:tcW w:w="220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1 242 117 496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5 187 082 663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71,9%</w:t>
            </w:r>
          </w:p>
        </w:tc>
      </w:tr>
      <w:tr w:rsidR="00521A31" w:rsidRPr="00B8571C" w:rsidTr="00970B79">
        <w:trPr>
          <w:trHeight w:val="319"/>
          <w:jc w:val="center"/>
        </w:trPr>
        <w:tc>
          <w:tcPr>
            <w:tcW w:w="200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WUP Olsztyn</w:t>
            </w:r>
          </w:p>
        </w:tc>
        <w:tc>
          <w:tcPr>
            <w:tcW w:w="220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147 664 514</w:t>
            </w:r>
          </w:p>
        </w:tc>
        <w:tc>
          <w:tcPr>
            <w:tcW w:w="206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616 647 010</w:t>
            </w:r>
          </w:p>
        </w:tc>
        <w:tc>
          <w:tcPr>
            <w:tcW w:w="126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8,5%</w:t>
            </w:r>
          </w:p>
        </w:tc>
      </w:tr>
      <w:tr w:rsidR="00521A31" w:rsidRPr="00B8571C" w:rsidTr="00970B79">
        <w:trPr>
          <w:trHeight w:val="319"/>
          <w:jc w:val="center"/>
        </w:trPr>
        <w:tc>
          <w:tcPr>
            <w:tcW w:w="200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Dep. EFS</w:t>
            </w:r>
          </w:p>
        </w:tc>
        <w:tc>
          <w:tcPr>
            <w:tcW w:w="220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146 502 680</w:t>
            </w:r>
          </w:p>
        </w:tc>
        <w:tc>
          <w:tcPr>
            <w:tcW w:w="206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611 795 192</w:t>
            </w:r>
          </w:p>
        </w:tc>
        <w:tc>
          <w:tcPr>
            <w:tcW w:w="126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8,5%</w:t>
            </w:r>
          </w:p>
        </w:tc>
      </w:tr>
      <w:tr w:rsidR="00521A31" w:rsidRPr="00B8571C" w:rsidTr="00970B79">
        <w:trPr>
          <w:trHeight w:val="319"/>
          <w:jc w:val="center"/>
        </w:trPr>
        <w:tc>
          <w:tcPr>
            <w:tcW w:w="200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ROPS</w:t>
            </w:r>
          </w:p>
        </w:tc>
        <w:tc>
          <w:tcPr>
            <w:tcW w:w="220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133 973 226</w:t>
            </w:r>
          </w:p>
        </w:tc>
        <w:tc>
          <w:tcPr>
            <w:tcW w:w="206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559 472 192</w:t>
            </w:r>
          </w:p>
        </w:tc>
        <w:tc>
          <w:tcPr>
            <w:tcW w:w="1260" w:type="dxa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7,8%</w:t>
            </w:r>
          </w:p>
        </w:tc>
      </w:tr>
      <w:tr w:rsidR="00521A31" w:rsidRPr="00B8571C" w:rsidTr="00970B79">
        <w:trPr>
          <w:trHeight w:val="319"/>
          <w:jc w:val="center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Dep. PR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58 014 179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242 267 212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71C">
              <w:rPr>
                <w:rFonts w:ascii="Arial" w:hAnsi="Arial" w:cs="Arial"/>
                <w:sz w:val="24"/>
                <w:szCs w:val="24"/>
              </w:rPr>
              <w:t>3,4%</w:t>
            </w:r>
          </w:p>
        </w:tc>
      </w:tr>
      <w:tr w:rsidR="00521A31" w:rsidRPr="00B8571C" w:rsidTr="00970B79">
        <w:trPr>
          <w:trHeight w:val="319"/>
          <w:jc w:val="center"/>
        </w:trPr>
        <w:tc>
          <w:tcPr>
            <w:tcW w:w="200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EFS</w:t>
            </w:r>
          </w:p>
        </w:tc>
        <w:tc>
          <w:tcPr>
            <w:tcW w:w="220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486 154 599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2 030 181 605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28,1%</w:t>
            </w:r>
          </w:p>
        </w:tc>
      </w:tr>
      <w:tr w:rsidR="00521A31" w:rsidRPr="00B8571C" w:rsidTr="00970B79">
        <w:trPr>
          <w:trHeight w:val="319"/>
          <w:jc w:val="center"/>
        </w:trPr>
        <w:tc>
          <w:tcPr>
            <w:tcW w:w="200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RPO WiM 2014-2020</w:t>
            </w:r>
          </w:p>
        </w:tc>
        <w:tc>
          <w:tcPr>
            <w:tcW w:w="220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1 728 272 095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7 217 264 269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  <w:hideMark/>
          </w:tcPr>
          <w:p w:rsidR="00521A31" w:rsidRPr="00B8571C" w:rsidRDefault="00521A31" w:rsidP="004B7C4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571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</w:tbl>
    <w:p w:rsidR="004B7C4A" w:rsidRDefault="00521A31" w:rsidP="004B7C4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571C">
        <w:rPr>
          <w:rFonts w:ascii="Arial" w:hAnsi="Arial" w:cs="Arial"/>
          <w:sz w:val="24"/>
          <w:szCs w:val="24"/>
        </w:rPr>
        <w:fldChar w:fldCharType="end"/>
      </w:r>
    </w:p>
    <w:p w:rsidR="005D6EF8" w:rsidRDefault="005D6EF8" w:rsidP="004B7C4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7C4A" w:rsidRDefault="004B7C4A" w:rsidP="004B7C4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Dotąd umowy na n</w:t>
      </w:r>
      <w:r w:rsidRPr="00B8571C">
        <w:rPr>
          <w:rFonts w:ascii="Arial" w:hAnsi="Arial" w:cs="Arial"/>
          <w:sz w:val="24"/>
          <w:szCs w:val="24"/>
        </w:rPr>
        <w:t xml:space="preserve">ajwiększy odsetek </w:t>
      </w:r>
      <w:r>
        <w:rPr>
          <w:rFonts w:ascii="Arial" w:hAnsi="Arial" w:cs="Arial"/>
          <w:sz w:val="24"/>
          <w:szCs w:val="24"/>
        </w:rPr>
        <w:t xml:space="preserve">środków </w:t>
      </w:r>
      <w:r w:rsidRPr="00B8571C">
        <w:rPr>
          <w:rFonts w:ascii="Arial" w:hAnsi="Arial" w:cs="Arial"/>
          <w:sz w:val="24"/>
          <w:szCs w:val="24"/>
        </w:rPr>
        <w:t xml:space="preserve">UE zakontraktował Departament Europejskiego Funduszu Społecznego (ok. 37% alokacji),  Wojewódzki Urząd Pracy w Olsztynie (ok. 32% alokacji) oraz Departament Polityki Regionalnej (w zakresie Pomocy technicznej </w:t>
      </w:r>
      <w:r w:rsidR="005D6EF8">
        <w:rPr>
          <w:rFonts w:ascii="Arial" w:hAnsi="Arial" w:cs="Arial"/>
          <w:sz w:val="24"/>
          <w:szCs w:val="24"/>
        </w:rPr>
        <w:t>–</w:t>
      </w:r>
      <w:r w:rsidRPr="00B8571C">
        <w:rPr>
          <w:rFonts w:ascii="Arial" w:hAnsi="Arial" w:cs="Arial"/>
          <w:sz w:val="24"/>
          <w:szCs w:val="24"/>
        </w:rPr>
        <w:t xml:space="preserve"> ok. 26% alokacji).</w:t>
      </w:r>
    </w:p>
    <w:p w:rsidR="005D6EF8" w:rsidRDefault="005D6EF8" w:rsidP="004B7C4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7C4A" w:rsidRDefault="004B7C4A" w:rsidP="004B7C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7C4A" w:rsidRPr="004B7C4A" w:rsidRDefault="004B7C4A" w:rsidP="004B7C4A">
      <w:pPr>
        <w:spacing w:after="0" w:line="360" w:lineRule="auto"/>
        <w:ind w:left="993" w:hanging="993"/>
        <w:rPr>
          <w:rFonts w:ascii="Arial" w:hAnsi="Arial" w:cs="Arial"/>
          <w:sz w:val="20"/>
          <w:szCs w:val="20"/>
        </w:rPr>
      </w:pPr>
      <w:r w:rsidRPr="004B7C4A">
        <w:rPr>
          <w:rFonts w:ascii="Arial" w:hAnsi="Arial" w:cs="Arial"/>
          <w:b/>
          <w:sz w:val="20"/>
          <w:szCs w:val="20"/>
        </w:rPr>
        <w:t>Odsetek wartości dofinansowania UE podpisanych umów w stosunku do alokacji wdrażanej przez poszczególne instytucje</w:t>
      </w:r>
    </w:p>
    <w:p w:rsidR="008706C2" w:rsidRPr="00B8571C" w:rsidRDefault="004B7C4A" w:rsidP="005D6E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259207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706C2" w:rsidRPr="00B8571C" w:rsidSect="005D6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5447"/>
    <w:multiLevelType w:val="hybridMultilevel"/>
    <w:tmpl w:val="2E68C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278"/>
    <w:rsid w:val="000F1D14"/>
    <w:rsid w:val="003D7278"/>
    <w:rsid w:val="004B7C4A"/>
    <w:rsid w:val="00521A31"/>
    <w:rsid w:val="005D6EF8"/>
    <w:rsid w:val="00850E33"/>
    <w:rsid w:val="00AF442A"/>
    <w:rsid w:val="00B8571C"/>
    <w:rsid w:val="00D2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0498"/>
  <w15:docId w15:val="{FDAFE4E3-D514-4C9B-85E0-63005DA3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27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72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278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2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t.raszkowski\Desktop\Informacja%20miesi&#281;czna\Nowa%20miesi&#281;czna\Miesi&#281;czna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.raszkowski\Desktop\Informacja%20miesi&#281;czna\Nowa%20miesi&#281;czna\Miesi&#281;czna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253162292906732E-2"/>
          <c:y val="4.3846256506072344E-2"/>
          <c:w val="0.93274689001824906"/>
          <c:h val="0.933168735264024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3.2921810699589123E-3"/>
                  <c:y val="-4.4893441704452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E7-4BBC-8952-C23524A31A52}"/>
                </c:ext>
              </c:extLst>
            </c:dLbl>
            <c:dLbl>
              <c:idx val="4"/>
              <c:layout>
                <c:manualLayout>
                  <c:x val="4.93827160493828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E7-4BBC-8952-C23524A31A52}"/>
                </c:ext>
              </c:extLst>
            </c:dLbl>
            <c:dLbl>
              <c:idx val="5"/>
              <c:layout>
                <c:manualLayout>
                  <c:x val="6.58436213991770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E7-4BBC-8952-C23524A31A52}"/>
                </c:ext>
              </c:extLst>
            </c:dLbl>
            <c:dLbl>
              <c:idx val="7"/>
              <c:layout>
                <c:manualLayout>
                  <c:x val="5.9347181008902131E-3"/>
                  <c:y val="-3.9072039072039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483679525222552E-2"/>
                      <c:h val="5.472546700893157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8-7CE7-4BBC-8952-C23524A31A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Wykresy!$B$23:$B$30</c:f>
              <c:strCache>
                <c:ptCount val="8"/>
                <c:pt idx="0">
                  <c:v>III kw. 2015</c:v>
                </c:pt>
                <c:pt idx="1">
                  <c:v>IV kw. 2015</c:v>
                </c:pt>
                <c:pt idx="2">
                  <c:v>I kw. 2016</c:v>
                </c:pt>
                <c:pt idx="3">
                  <c:v>II kw. 2016</c:v>
                </c:pt>
                <c:pt idx="4">
                  <c:v>III kw. 2016</c:v>
                </c:pt>
                <c:pt idx="5">
                  <c:v>IV kw. 2016</c:v>
                </c:pt>
                <c:pt idx="6">
                  <c:v>I kw. 2017</c:v>
                </c:pt>
                <c:pt idx="7">
                  <c:v>II kw. 2017</c:v>
                </c:pt>
              </c:strCache>
            </c:strRef>
          </c:cat>
          <c:val>
            <c:numRef>
              <c:f>Wykresy!$D$23:$D$30</c:f>
              <c:numCache>
                <c:formatCode>0.0%</c:formatCode>
                <c:ptCount val="8"/>
                <c:pt idx="0">
                  <c:v>0</c:v>
                </c:pt>
                <c:pt idx="1">
                  <c:v>7.1966183177066476E-3</c:v>
                </c:pt>
                <c:pt idx="2">
                  <c:v>6.4741006412235534E-3</c:v>
                </c:pt>
                <c:pt idx="3">
                  <c:v>1.2958654018718251E-2</c:v>
                </c:pt>
                <c:pt idx="4">
                  <c:v>2.0885272967388978E-2</c:v>
                </c:pt>
                <c:pt idx="5">
                  <c:v>8.4131604715049227E-2</c:v>
                </c:pt>
                <c:pt idx="6">
                  <c:v>0.10569402393869795</c:v>
                </c:pt>
                <c:pt idx="7">
                  <c:v>0.20126987704547866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E7-4BBC-8952-C23524A31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346368"/>
        <c:axId val="104347904"/>
      </c:barChart>
      <c:lineChart>
        <c:grouping val="standard"/>
        <c:varyColors val="0"/>
        <c:ser>
          <c:idx val="1"/>
          <c:order val="1"/>
          <c:spPr>
            <a:ln w="25400">
              <a:solidFill>
                <a:srgbClr val="ED7D31">
                  <a:lumMod val="50000"/>
                </a:srgbClr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E7-4BBC-8952-C23524A31A5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E7-4BBC-8952-C23524A31A5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CE7-4BBC-8952-C23524A31A5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CE7-4BBC-8952-C23524A31A5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CE7-4BBC-8952-C23524A31A5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CE7-4BBC-8952-C23524A31A5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CE7-4BBC-8952-C23524A31A52}"/>
                </c:ext>
              </c:extLst>
            </c:dLbl>
            <c:dLbl>
              <c:idx val="7"/>
              <c:layout>
                <c:manualLayout>
                  <c:x val="-0.53467651113343773"/>
                  <c:y val="-3.59147414265525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CE7-4BBC-8952-C23524A31A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Wykresy!$E$23:$E$30</c:f>
              <c:numCache>
                <c:formatCode>0.0%</c:formatCode>
                <c:ptCount val="8"/>
                <c:pt idx="0">
                  <c:v>0.18236617645447936</c:v>
                </c:pt>
                <c:pt idx="1">
                  <c:v>0.18236617645447936</c:v>
                </c:pt>
                <c:pt idx="2">
                  <c:v>0.18236617645447936</c:v>
                </c:pt>
                <c:pt idx="3">
                  <c:v>0.18236617645447936</c:v>
                </c:pt>
                <c:pt idx="4">
                  <c:v>0.18236617645447936</c:v>
                </c:pt>
                <c:pt idx="5">
                  <c:v>0.18236617645447936</c:v>
                </c:pt>
                <c:pt idx="6">
                  <c:v>0.18236617645447936</c:v>
                </c:pt>
                <c:pt idx="7">
                  <c:v>0.18236617645447936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7CE7-4BBC-8952-C23524A31A52}"/>
            </c:ext>
          </c:extLst>
        </c:ser>
        <c:ser>
          <c:idx val="2"/>
          <c:order val="2"/>
          <c:spPr>
            <a:ln w="25400">
              <a:solidFill>
                <a:srgbClr val="44546A">
                  <a:lumMod val="50000"/>
                </a:srgbClr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CE7-4BBC-8952-C23524A31A5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CE7-4BBC-8952-C23524A31A5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CE7-4BBC-8952-C23524A31A5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CE7-4BBC-8952-C23524A31A5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CE7-4BBC-8952-C23524A31A5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CE7-4BBC-8952-C23524A31A5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CE7-4BBC-8952-C23524A31A52}"/>
                </c:ext>
              </c:extLst>
            </c:dLbl>
            <c:dLbl>
              <c:idx val="7"/>
              <c:layout>
                <c:manualLayout>
                  <c:x val="-0.53105228315303321"/>
                  <c:y val="-4.97776239508523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1">
                      <a:solidFill>
                        <a:schemeClr val="tx2">
                          <a:lumMod val="50000"/>
                        </a:schemeClr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CE7-4BBC-8952-C23524A31A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Wykresy!$H$23:$H$30</c:f>
              <c:numCache>
                <c:formatCode>0.0%</c:formatCode>
                <c:ptCount val="8"/>
                <c:pt idx="0">
                  <c:v>0.47364836063489074</c:v>
                </c:pt>
                <c:pt idx="1">
                  <c:v>0.47364836063489074</c:v>
                </c:pt>
                <c:pt idx="2">
                  <c:v>0.47364836063489074</c:v>
                </c:pt>
                <c:pt idx="3">
                  <c:v>0.47364836063489074</c:v>
                </c:pt>
                <c:pt idx="4">
                  <c:v>0.47364836063489074</c:v>
                </c:pt>
                <c:pt idx="5">
                  <c:v>0.47364836063489074</c:v>
                </c:pt>
                <c:pt idx="6">
                  <c:v>0.47364836063489074</c:v>
                </c:pt>
                <c:pt idx="7">
                  <c:v>0.47364836063489074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7CE7-4BBC-8952-C23524A31A52}"/>
            </c:ext>
          </c:extLst>
        </c:ser>
        <c:ser>
          <c:idx val="3"/>
          <c:order val="3"/>
          <c:spPr>
            <a:ln w="25400">
              <a:solidFill>
                <a:srgbClr val="A5A5A5">
                  <a:lumMod val="50000"/>
                </a:srgbClr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CE7-4BBC-8952-C23524A31A5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CE7-4BBC-8952-C23524A31A5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CE7-4BBC-8952-C23524A31A5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CE7-4BBC-8952-C23524A31A5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CE7-4BBC-8952-C23524A31A5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CE7-4BBC-8952-C23524A31A5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7CE7-4BBC-8952-C23524A31A52}"/>
                </c:ext>
              </c:extLst>
            </c:dLbl>
            <c:dLbl>
              <c:idx val="7"/>
              <c:layout>
                <c:manualLayout>
                  <c:x val="-0.53269827176647477"/>
                  <c:y val="-4.9382673319681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CE7-4BBC-8952-C23524A31A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Wykresy!$F$23:$F$30</c:f>
              <c:numCache>
                <c:formatCode>0.0%</c:formatCode>
                <c:ptCount val="8"/>
                <c:pt idx="0">
                  <c:v>0.23158427167368043</c:v>
                </c:pt>
                <c:pt idx="1">
                  <c:v>0.23158427167368043</c:v>
                </c:pt>
                <c:pt idx="2">
                  <c:v>0.23158427167368043</c:v>
                </c:pt>
                <c:pt idx="3">
                  <c:v>0.23158427167368043</c:v>
                </c:pt>
                <c:pt idx="4">
                  <c:v>0.23158427167368043</c:v>
                </c:pt>
                <c:pt idx="5">
                  <c:v>0.23158427167368043</c:v>
                </c:pt>
                <c:pt idx="6">
                  <c:v>0.23158427167368043</c:v>
                </c:pt>
                <c:pt idx="7">
                  <c:v>0.23158427167368043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7CE7-4BBC-8952-C23524A31A52}"/>
            </c:ext>
          </c:extLst>
        </c:ser>
        <c:ser>
          <c:idx val="4"/>
          <c:order val="4"/>
          <c:spPr>
            <a:ln w="25400">
              <a:solidFill>
                <a:srgbClr val="FFC000">
                  <a:lumMod val="50000"/>
                </a:srgbClr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CE7-4BBC-8952-C23524A31A5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CE7-4BBC-8952-C23524A31A5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CE7-4BBC-8952-C23524A31A5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7CE7-4BBC-8952-C23524A31A5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7CE7-4BBC-8952-C23524A31A5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7CE7-4BBC-8952-C23524A31A5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CE7-4BBC-8952-C23524A31A52}"/>
                </c:ext>
              </c:extLst>
            </c:dLbl>
            <c:dLbl>
              <c:idx val="7"/>
              <c:layout>
                <c:manualLayout>
                  <c:x val="-0.52643145867894114"/>
                  <c:y val="-4.93826733196812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1">
                      <a:solidFill>
                        <a:schemeClr val="accent4">
                          <a:lumMod val="50000"/>
                        </a:schemeClr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7CE7-4BBC-8952-C23524A31A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Wykresy!$G$23:$G$30</c:f>
              <c:numCache>
                <c:formatCode>0.0%</c:formatCode>
                <c:ptCount val="8"/>
                <c:pt idx="0">
                  <c:v>0.33359570877609035</c:v>
                </c:pt>
                <c:pt idx="1">
                  <c:v>0.33359570877609035</c:v>
                </c:pt>
                <c:pt idx="2">
                  <c:v>0.33359570877609035</c:v>
                </c:pt>
                <c:pt idx="3">
                  <c:v>0.33359570877609035</c:v>
                </c:pt>
                <c:pt idx="4">
                  <c:v>0.33359570877609035</c:v>
                </c:pt>
                <c:pt idx="5">
                  <c:v>0.33359570877609035</c:v>
                </c:pt>
                <c:pt idx="6">
                  <c:v>0.33359570877609035</c:v>
                </c:pt>
                <c:pt idx="7">
                  <c:v>0.33359570877609035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7-7CE7-4BBC-8952-C23524A31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346368"/>
        <c:axId val="104347904"/>
      </c:lineChart>
      <c:catAx>
        <c:axId val="104346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04347904"/>
        <c:crosses val="autoZero"/>
        <c:auto val="1"/>
        <c:lblAlgn val="ctr"/>
        <c:lblOffset val="100"/>
        <c:noMultiLvlLbl val="0"/>
      </c:catAx>
      <c:valAx>
        <c:axId val="104347904"/>
        <c:scaling>
          <c:orientation val="minMax"/>
          <c:max val="0.60000000000000064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0"/>
        <c:majorTickMark val="out"/>
        <c:minorTickMark val="none"/>
        <c:tickLblPos val="nextTo"/>
        <c:crossAx val="104346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% zakontraktowanej alokacji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E4F-4FED-A476-23B97EF73FA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E4F-4FED-A476-23B97EF73FA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E4F-4FED-A476-23B97EF73FAA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E4F-4FED-A476-23B97EF73FAA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E4F-4FED-A476-23B97EF73FAA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E4F-4FED-A476-23B97EF73FAA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2E4F-4FED-A476-23B97EF73FAA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2E4F-4FED-A476-23B97EF73FAA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2E4F-4FED-A476-23B97EF73FAA}"/>
              </c:ext>
            </c:extLst>
          </c:dPt>
          <c:dLbls>
            <c:dLbl>
              <c:idx val="3"/>
              <c:layout>
                <c:manualLayout>
                  <c:x val="4.4091710758376694E-3"/>
                  <c:y val="1.4698677119059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E4F-4FED-A476-23B97EF73FAA}"/>
                </c:ext>
              </c:extLst>
            </c:dLbl>
            <c:dLbl>
              <c:idx val="5"/>
              <c:layout>
                <c:manualLayout>
                  <c:x val="6.6137566137566134E-3"/>
                  <c:y val="4.8995590396864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E4F-4FED-A476-23B97EF73F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Wykresy!$B$123:$B$129</c:f>
              <c:strCache>
                <c:ptCount val="7"/>
                <c:pt idx="0">
                  <c:v>Dep. EFRR</c:v>
                </c:pt>
                <c:pt idx="1">
                  <c:v>WFOŚiGW</c:v>
                </c:pt>
                <c:pt idx="2">
                  <c:v>WMARR</c:v>
                </c:pt>
                <c:pt idx="3">
                  <c:v>WUP</c:v>
                </c:pt>
                <c:pt idx="4">
                  <c:v>Dep. EFS</c:v>
                </c:pt>
                <c:pt idx="5">
                  <c:v>ROPS</c:v>
                </c:pt>
                <c:pt idx="6">
                  <c:v>Dep. PR</c:v>
                </c:pt>
              </c:strCache>
            </c:strRef>
          </c:cat>
          <c:val>
            <c:numRef>
              <c:f>Wykresy!$C$123:$C$129</c:f>
              <c:numCache>
                <c:formatCode>0.0%</c:formatCode>
                <c:ptCount val="7"/>
                <c:pt idx="0">
                  <c:v>0.20348384403298672</c:v>
                </c:pt>
                <c:pt idx="1">
                  <c:v>6.6704557928286501E-2</c:v>
                </c:pt>
                <c:pt idx="2">
                  <c:v>8.3678564210146258E-2</c:v>
                </c:pt>
                <c:pt idx="3">
                  <c:v>0.31974091793883896</c:v>
                </c:pt>
                <c:pt idx="4">
                  <c:v>0.36557096701894826</c:v>
                </c:pt>
                <c:pt idx="5">
                  <c:v>0.18317180527719681</c:v>
                </c:pt>
                <c:pt idx="6">
                  <c:v>0.2573229059474722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2E4F-4FED-A476-23B97EF73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533376"/>
        <c:axId val="104559744"/>
      </c:barChart>
      <c:lineChart>
        <c:grouping val="standard"/>
        <c:varyColors val="0"/>
        <c:ser>
          <c:idx val="1"/>
          <c:order val="1"/>
          <c:tx>
            <c:v>Cel na koniec aktualnego kwartału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Wykresy!$D$123:$D$129</c:f>
              <c:numCache>
                <c:formatCode>0.0%</c:formatCode>
                <c:ptCount val="7"/>
                <c:pt idx="0">
                  <c:v>0.25124936876970955</c:v>
                </c:pt>
                <c:pt idx="1">
                  <c:v>0.1719596707377592</c:v>
                </c:pt>
                <c:pt idx="2">
                  <c:v>4.6513407457887256E-2</c:v>
                </c:pt>
                <c:pt idx="3">
                  <c:v>0.32315084094879182</c:v>
                </c:pt>
                <c:pt idx="4">
                  <c:v>0.31603713567780389</c:v>
                </c:pt>
                <c:pt idx="5">
                  <c:v>0.18211807753403844</c:v>
                </c:pt>
                <c:pt idx="6">
                  <c:v>0.25953958606140903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2E4F-4FED-A476-23B97EF73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533376"/>
        <c:axId val="104559744"/>
      </c:lineChart>
      <c:catAx>
        <c:axId val="10453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4559744"/>
        <c:crosses val="autoZero"/>
        <c:auto val="1"/>
        <c:lblAlgn val="ctr"/>
        <c:lblOffset val="100"/>
        <c:noMultiLvlLbl val="0"/>
      </c:catAx>
      <c:valAx>
        <c:axId val="10455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453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0.26914</cdr:x>
      <cdr:y>0.8676</cdr:y>
    </cdr:from>
    <cdr:to>
      <cdr:x>0.33333</cdr:x>
      <cdr:y>0.88376</cdr:y>
    </cdr:to>
    <cdr:sp macro="" textlink="">
      <cdr:nvSpPr>
        <cdr:cNvPr id="3" name="Łącznik prosty ze strzałką 2"/>
        <cdr:cNvSpPr/>
      </cdr:nvSpPr>
      <cdr:spPr>
        <a:xfrm xmlns:a="http://schemas.openxmlformats.org/drawingml/2006/main">
          <a:off x="2076482" y="2454371"/>
          <a:ext cx="495268" cy="4571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0.66959</cdr:x>
      <cdr:y>0.00337</cdr:y>
    </cdr:from>
    <cdr:to>
      <cdr:x>0.91114</cdr:x>
      <cdr:y>0.07785</cdr:y>
    </cdr:to>
    <cdr:sp macro="" textlink="">
      <cdr:nvSpPr>
        <cdr:cNvPr id="11" name="pole tekstowe 1"/>
        <cdr:cNvSpPr txBox="1"/>
      </cdr:nvSpPr>
      <cdr:spPr>
        <a:xfrm xmlns:a="http://schemas.openxmlformats.org/drawingml/2006/main">
          <a:off x="5095897" y="9522"/>
          <a:ext cx="1838310" cy="2107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 sz="1100" b="1">
            <a:solidFill>
              <a:schemeClr val="tx2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0.49931</cdr:x>
      <cdr:y>0.77618</cdr:y>
    </cdr:from>
    <cdr:to>
      <cdr:x>0.57941</cdr:x>
      <cdr:y>0.83377</cdr:y>
    </cdr:to>
    <cdr:sp macro="" textlink="">
      <cdr:nvSpPr>
        <cdr:cNvPr id="13" name="pole tekstowe 6"/>
        <cdr:cNvSpPr txBox="1"/>
      </cdr:nvSpPr>
      <cdr:spPr>
        <a:xfrm xmlns:a="http://schemas.openxmlformats.org/drawingml/2006/main" rot="21083797">
          <a:off x="3205489" y="2018323"/>
          <a:ext cx="514230" cy="1497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900" b="1">
              <a:solidFill>
                <a:schemeClr val="accent2">
                  <a:lumMod val="50000"/>
                </a:schemeClr>
              </a:solidFill>
            </a:rPr>
            <a:t>+0,8</a:t>
          </a:r>
        </a:p>
      </cdr:txBody>
    </cdr:sp>
  </cdr:relSizeAnchor>
  <cdr:relSizeAnchor xmlns:cdr="http://schemas.openxmlformats.org/drawingml/2006/chartDrawing">
    <cdr:from>
      <cdr:x>0.60942</cdr:x>
      <cdr:y>0.71506</cdr:y>
    </cdr:from>
    <cdr:to>
      <cdr:x>0.68952</cdr:x>
      <cdr:y>0.77263</cdr:y>
    </cdr:to>
    <cdr:sp macro="" textlink="">
      <cdr:nvSpPr>
        <cdr:cNvPr id="14" name="pole tekstowe 6"/>
        <cdr:cNvSpPr txBox="1"/>
      </cdr:nvSpPr>
      <cdr:spPr>
        <a:xfrm xmlns:a="http://schemas.openxmlformats.org/drawingml/2006/main" rot="19670511">
          <a:off x="3912402" y="1859383"/>
          <a:ext cx="514230" cy="1497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900" b="1">
              <a:solidFill>
                <a:schemeClr val="accent2">
                  <a:lumMod val="50000"/>
                </a:schemeClr>
              </a:solidFill>
            </a:rPr>
            <a:t>+6,3</a:t>
          </a:r>
        </a:p>
      </cdr:txBody>
    </cdr:sp>
  </cdr:relSizeAnchor>
  <cdr:relSizeAnchor xmlns:cdr="http://schemas.openxmlformats.org/drawingml/2006/chartDrawing">
    <cdr:from>
      <cdr:x>0.72716</cdr:x>
      <cdr:y>0.6734</cdr:y>
    </cdr:from>
    <cdr:to>
      <cdr:x>0.81111</cdr:x>
      <cdr:y>0.74747</cdr:y>
    </cdr:to>
    <cdr:sp macro="" textlink="">
      <cdr:nvSpPr>
        <cdr:cNvPr id="15" name="pole tekstowe 6"/>
        <cdr:cNvSpPr txBox="1"/>
      </cdr:nvSpPr>
      <cdr:spPr>
        <a:xfrm xmlns:a="http://schemas.openxmlformats.org/drawingml/2006/main">
          <a:off x="5610221" y="1904995"/>
          <a:ext cx="647695" cy="2095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 sz="1000" b="1">
            <a:solidFill>
              <a:schemeClr val="accent2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0.38765</cdr:x>
      <cdr:y>0.851</cdr:y>
    </cdr:from>
    <cdr:to>
      <cdr:x>0.45247</cdr:x>
      <cdr:y>0.87879</cdr:y>
    </cdr:to>
    <cdr:sp macro="" textlink="">
      <cdr:nvSpPr>
        <cdr:cNvPr id="4" name="Łącznik prosty ze strzałką 4"/>
        <cdr:cNvSpPr/>
      </cdr:nvSpPr>
      <cdr:spPr>
        <a:xfrm xmlns:a="http://schemas.openxmlformats.org/drawingml/2006/main" flipV="1">
          <a:off x="2990849" y="2407411"/>
          <a:ext cx="500070" cy="7861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0.50617</cdr:x>
      <cdr:y>0.84512</cdr:y>
    </cdr:from>
    <cdr:to>
      <cdr:x>0.56543</cdr:x>
      <cdr:y>0.86801</cdr:y>
    </cdr:to>
    <cdr:sp macro="" textlink="">
      <cdr:nvSpPr>
        <cdr:cNvPr id="17" name="Łącznik prosty ze strzałką 6"/>
        <cdr:cNvSpPr/>
      </cdr:nvSpPr>
      <cdr:spPr>
        <a:xfrm xmlns:a="http://schemas.openxmlformats.org/drawingml/2006/main" flipV="1">
          <a:off x="3905249" y="2390771"/>
          <a:ext cx="457200" cy="6476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0.61728</cdr:x>
      <cdr:y>0.75617</cdr:y>
    </cdr:from>
    <cdr:to>
      <cdr:x>0.68224</cdr:x>
      <cdr:y>0.84175</cdr:y>
    </cdr:to>
    <cdr:sp macro="" textlink="">
      <cdr:nvSpPr>
        <cdr:cNvPr id="22" name="Łącznik prosty ze strzałką 8"/>
        <cdr:cNvSpPr/>
      </cdr:nvSpPr>
      <cdr:spPr>
        <a:xfrm xmlns:a="http://schemas.openxmlformats.org/drawingml/2006/main" rot="5400000" flipH="1" flipV="1">
          <a:off x="4892011" y="2009633"/>
          <a:ext cx="242102" cy="50112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0.15018</cdr:x>
      <cdr:y>0.85522</cdr:y>
    </cdr:from>
    <cdr:to>
      <cdr:x>0.21111</cdr:x>
      <cdr:y>0.87307</cdr:y>
    </cdr:to>
    <cdr:sp macro="" textlink="">
      <cdr:nvSpPr>
        <cdr:cNvPr id="23" name="Łącznik prosty ze strzałką 5"/>
        <cdr:cNvSpPr/>
      </cdr:nvSpPr>
      <cdr:spPr>
        <a:xfrm xmlns:a="http://schemas.openxmlformats.org/drawingml/2006/main" flipV="1">
          <a:off x="1158676" y="2419347"/>
          <a:ext cx="470098" cy="5048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0.73754</cdr:x>
      <cdr:y>0.74004</cdr:y>
    </cdr:from>
    <cdr:to>
      <cdr:x>0.7968</cdr:x>
      <cdr:y>0.77708</cdr:y>
    </cdr:to>
    <cdr:sp macro="" textlink="">
      <cdr:nvSpPr>
        <cdr:cNvPr id="24" name="Łącznik prosty ze strzałką 7"/>
        <cdr:cNvSpPr/>
      </cdr:nvSpPr>
      <cdr:spPr>
        <a:xfrm xmlns:a="http://schemas.openxmlformats.org/drawingml/2006/main" rot="5400000" flipH="1" flipV="1">
          <a:off x="4876943" y="1782274"/>
          <a:ext cx="96316" cy="38044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0.11969</cdr:x>
      <cdr:y>0.55715</cdr:y>
    </cdr:from>
    <cdr:to>
      <cdr:x>0.46387</cdr:x>
      <cdr:y>0.60513</cdr:y>
    </cdr:to>
    <cdr:sp macro="" textlink="">
      <cdr:nvSpPr>
        <cdr:cNvPr id="25" name="pole tekstowe 9"/>
        <cdr:cNvSpPr txBox="1"/>
      </cdr:nvSpPr>
      <cdr:spPr>
        <a:xfrm xmlns:a="http://schemas.openxmlformats.org/drawingml/2006/main">
          <a:off x="768409" y="1448781"/>
          <a:ext cx="2209584" cy="1247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l-PL" sz="1000" b="1">
              <a:solidFill>
                <a:schemeClr val="accent2">
                  <a:lumMod val="50000"/>
                </a:schemeClr>
              </a:solidFill>
            </a:rPr>
            <a:t>Cel na koniec I kwartału 2017r.  -  </a:t>
          </a:r>
        </a:p>
      </cdr:txBody>
    </cdr:sp>
  </cdr:relSizeAnchor>
  <cdr:relSizeAnchor xmlns:cdr="http://schemas.openxmlformats.org/drawingml/2006/chartDrawing">
    <cdr:from>
      <cdr:x>0.19953</cdr:x>
      <cdr:y>0.12399</cdr:y>
    </cdr:from>
    <cdr:to>
      <cdr:x>0.44108</cdr:x>
      <cdr:y>0.19847</cdr:y>
    </cdr:to>
    <cdr:sp macro="" textlink="">
      <cdr:nvSpPr>
        <cdr:cNvPr id="26" name="pole tekstowe 1"/>
        <cdr:cNvSpPr txBox="1"/>
      </cdr:nvSpPr>
      <cdr:spPr>
        <a:xfrm xmlns:a="http://schemas.openxmlformats.org/drawingml/2006/main">
          <a:off x="1280950" y="322425"/>
          <a:ext cx="1550714" cy="1936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1000" b="1">
              <a:solidFill>
                <a:schemeClr val="tx2">
                  <a:lumMod val="50000"/>
                </a:schemeClr>
              </a:solidFill>
            </a:rPr>
            <a:t>Cel na koniec 2017r.  - </a:t>
          </a:r>
        </a:p>
      </cdr:txBody>
    </cdr:sp>
  </cdr:relSizeAnchor>
  <cdr:relSizeAnchor xmlns:cdr="http://schemas.openxmlformats.org/drawingml/2006/chartDrawing">
    <cdr:from>
      <cdr:x>0.38616</cdr:x>
      <cdr:y>0.78763</cdr:y>
    </cdr:from>
    <cdr:to>
      <cdr:x>0.46626</cdr:x>
      <cdr:y>0.84521</cdr:y>
    </cdr:to>
    <cdr:sp macro="" textlink="">
      <cdr:nvSpPr>
        <cdr:cNvPr id="27" name="pole tekstowe 6"/>
        <cdr:cNvSpPr txBox="1"/>
      </cdr:nvSpPr>
      <cdr:spPr>
        <a:xfrm xmlns:a="http://schemas.openxmlformats.org/drawingml/2006/main" rot="21021178">
          <a:off x="2479106" y="2048097"/>
          <a:ext cx="514230" cy="1497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pl-PL" sz="900" b="1">
              <a:solidFill>
                <a:srgbClr val="C0504D">
                  <a:lumMod val="50000"/>
                </a:srgbClr>
              </a:solidFill>
            </a:rPr>
            <a:t>+0,7</a:t>
          </a:r>
        </a:p>
      </cdr:txBody>
    </cdr:sp>
  </cdr:relSizeAnchor>
  <cdr:relSizeAnchor xmlns:cdr="http://schemas.openxmlformats.org/drawingml/2006/chartDrawing">
    <cdr:from>
      <cdr:x>0.85378</cdr:x>
      <cdr:y>0.65058</cdr:y>
    </cdr:from>
    <cdr:to>
      <cdr:x>0.94884</cdr:x>
      <cdr:y>0.73139</cdr:y>
    </cdr:to>
    <cdr:sp macro="" textlink="">
      <cdr:nvSpPr>
        <cdr:cNvPr id="29" name="pole tekstowe 6"/>
        <cdr:cNvSpPr txBox="1"/>
      </cdr:nvSpPr>
      <cdr:spPr>
        <a:xfrm xmlns:a="http://schemas.openxmlformats.org/drawingml/2006/main" rot="19655397">
          <a:off x="5481137" y="1691722"/>
          <a:ext cx="610271" cy="2101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900" b="1">
              <a:solidFill>
                <a:schemeClr val="accent2">
                  <a:lumMod val="50000"/>
                </a:schemeClr>
              </a:solidFill>
            </a:rPr>
            <a:t>+9,5</a:t>
          </a:r>
        </a:p>
      </cdr:txBody>
    </cdr:sp>
  </cdr:relSizeAnchor>
  <cdr:relSizeAnchor xmlns:cdr="http://schemas.openxmlformats.org/drawingml/2006/chartDrawing">
    <cdr:from>
      <cdr:x>0.72679</cdr:x>
      <cdr:y>0.64573</cdr:y>
    </cdr:from>
    <cdr:to>
      <cdr:x>0.81074</cdr:x>
      <cdr:y>0.72654</cdr:y>
    </cdr:to>
    <cdr:sp macro="" textlink="">
      <cdr:nvSpPr>
        <cdr:cNvPr id="30" name="pole tekstowe 6"/>
        <cdr:cNvSpPr txBox="1"/>
      </cdr:nvSpPr>
      <cdr:spPr>
        <a:xfrm xmlns:a="http://schemas.openxmlformats.org/drawingml/2006/main" rot="20878439">
          <a:off x="4665883" y="1679104"/>
          <a:ext cx="538946" cy="2101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900" b="1" dirty="0">
              <a:solidFill>
                <a:schemeClr val="accent2">
                  <a:lumMod val="50000"/>
                </a:schemeClr>
              </a:solidFill>
            </a:rPr>
            <a:t>+2,2</a:t>
          </a:r>
        </a:p>
      </cdr:txBody>
    </cdr:sp>
  </cdr:relSizeAnchor>
  <cdr:relSizeAnchor xmlns:cdr="http://schemas.openxmlformats.org/drawingml/2006/chartDrawing">
    <cdr:from>
      <cdr:x>0.1153</cdr:x>
      <cdr:y>0.47659</cdr:y>
    </cdr:from>
    <cdr:to>
      <cdr:x>0.45948</cdr:x>
      <cdr:y>0.52457</cdr:y>
    </cdr:to>
    <cdr:sp macro="" textlink="">
      <cdr:nvSpPr>
        <cdr:cNvPr id="31" name="pole tekstowe 1"/>
        <cdr:cNvSpPr txBox="1"/>
      </cdr:nvSpPr>
      <cdr:spPr>
        <a:xfrm xmlns:a="http://schemas.openxmlformats.org/drawingml/2006/main">
          <a:off x="779742" y="1511673"/>
          <a:ext cx="2327604" cy="1521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1000" b="1">
              <a:solidFill>
                <a:schemeClr val="accent3">
                  <a:lumMod val="50000"/>
                </a:schemeClr>
              </a:solidFill>
            </a:rPr>
            <a:t>Cel na koniec II kwartału 2017r.  -</a:t>
          </a:r>
        </a:p>
      </cdr:txBody>
    </cdr:sp>
  </cdr:relSizeAnchor>
  <cdr:relSizeAnchor xmlns:cdr="http://schemas.openxmlformats.org/drawingml/2006/chartDrawing">
    <cdr:from>
      <cdr:x>0.85475</cdr:x>
      <cdr:y>0.60806</cdr:y>
    </cdr:from>
    <cdr:to>
      <cdr:x>0.91098</cdr:x>
      <cdr:y>0.75126</cdr:y>
    </cdr:to>
    <cdr:sp macro="" textlink="">
      <cdr:nvSpPr>
        <cdr:cNvPr id="32" name="Łącznik prosty ze strzałką 19"/>
        <cdr:cNvSpPr/>
      </cdr:nvSpPr>
      <cdr:spPr>
        <a:xfrm xmlns:a="http://schemas.openxmlformats.org/drawingml/2006/main" rot="5400000" flipH="1" flipV="1">
          <a:off x="5481673" y="1586843"/>
          <a:ext cx="372370" cy="36098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0.11759</cdr:x>
      <cdr:y>0.33072</cdr:y>
    </cdr:from>
    <cdr:to>
      <cdr:x>0.46177</cdr:x>
      <cdr:y>0.3787</cdr:y>
    </cdr:to>
    <cdr:sp macro="" textlink="">
      <cdr:nvSpPr>
        <cdr:cNvPr id="20" name="pole tekstowe 1"/>
        <cdr:cNvSpPr txBox="1"/>
      </cdr:nvSpPr>
      <cdr:spPr>
        <a:xfrm xmlns:a="http://schemas.openxmlformats.org/drawingml/2006/main">
          <a:off x="795265" y="1048995"/>
          <a:ext cx="2327603" cy="152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1000" b="1">
              <a:solidFill>
                <a:schemeClr val="accent4">
                  <a:lumMod val="50000"/>
                </a:schemeClr>
              </a:solidFill>
            </a:rPr>
            <a:t>Cel na koniec III kwartału 2017r. - </a:t>
          </a:r>
        </a:p>
      </cdr:txBody>
    </cdr:sp>
  </cdr:relSizeAnchor>
  <cdr:relSizeAnchor xmlns:cdr="http://schemas.openxmlformats.org/drawingml/2006/chartDrawing">
    <cdr:from>
      <cdr:x>0.1483</cdr:x>
      <cdr:y>0.78527</cdr:y>
    </cdr:from>
    <cdr:to>
      <cdr:x>0.2284</cdr:x>
      <cdr:y>0.84284</cdr:y>
    </cdr:to>
    <cdr:sp macro="" textlink="">
      <cdr:nvSpPr>
        <cdr:cNvPr id="21" name="pole tekstowe 6"/>
        <cdr:cNvSpPr txBox="1"/>
      </cdr:nvSpPr>
      <cdr:spPr>
        <a:xfrm xmlns:a="http://schemas.openxmlformats.org/drawingml/2006/main" rot="21134260">
          <a:off x="952040" y="2041951"/>
          <a:ext cx="514230" cy="1497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900" b="1">
              <a:solidFill>
                <a:schemeClr val="accent2">
                  <a:lumMod val="50000"/>
                </a:schemeClr>
              </a:solidFill>
            </a:rPr>
            <a:t>+0,7</a:t>
          </a:r>
        </a:p>
      </cdr:txBody>
    </cdr:sp>
  </cdr:relSizeAnchor>
  <cdr:relSizeAnchor xmlns:cdr="http://schemas.openxmlformats.org/drawingml/2006/chartDrawing">
    <cdr:from>
      <cdr:x>0.27101</cdr:x>
      <cdr:y>0.80527</cdr:y>
    </cdr:from>
    <cdr:to>
      <cdr:x>0.35111</cdr:x>
      <cdr:y>0.86284</cdr:y>
    </cdr:to>
    <cdr:sp macro="" textlink="">
      <cdr:nvSpPr>
        <cdr:cNvPr id="28" name="pole tekstowe 6"/>
        <cdr:cNvSpPr txBox="1"/>
      </cdr:nvSpPr>
      <cdr:spPr>
        <a:xfrm xmlns:a="http://schemas.openxmlformats.org/drawingml/2006/main" rot="299157">
          <a:off x="1739867" y="2093956"/>
          <a:ext cx="514230" cy="1497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900" b="1">
              <a:solidFill>
                <a:schemeClr val="accent2">
                  <a:lumMod val="50000"/>
                </a:schemeClr>
              </a:solidFill>
            </a:rPr>
            <a:t>-</a:t>
          </a:r>
          <a:r>
            <a:rPr lang="pl-PL" sz="900" b="1" baseline="0">
              <a:solidFill>
                <a:schemeClr val="accent2">
                  <a:lumMod val="50000"/>
                </a:schemeClr>
              </a:solidFill>
            </a:rPr>
            <a:t> </a:t>
          </a:r>
          <a:r>
            <a:rPr lang="pl-PL" sz="900" b="1">
              <a:solidFill>
                <a:schemeClr val="accent2">
                  <a:lumMod val="50000"/>
                </a:schemeClr>
              </a:solidFill>
            </a:rPr>
            <a:t>0,1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m.zawadzka</dc:creator>
  <cp:lastModifiedBy>Kinga Muller</cp:lastModifiedBy>
  <cp:revision>2</cp:revision>
  <dcterms:created xsi:type="dcterms:W3CDTF">2017-07-06T06:09:00Z</dcterms:created>
  <dcterms:modified xsi:type="dcterms:W3CDTF">2017-07-10T11:29:00Z</dcterms:modified>
</cp:coreProperties>
</file>