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479B0" w14:textId="77777777" w:rsidR="005438EB" w:rsidRPr="00A75C75" w:rsidRDefault="005438EB" w:rsidP="005438EB">
      <w:pPr>
        <w:pStyle w:val="Default"/>
        <w:rPr>
          <w:color w:val="auto"/>
        </w:rPr>
      </w:pPr>
    </w:p>
    <w:p w14:paraId="2CBCA8E6" w14:textId="51AA05CD" w:rsidR="005438EB" w:rsidRPr="00A75C75" w:rsidRDefault="000F4290" w:rsidP="005438EB">
      <w:pPr>
        <w:pStyle w:val="Default"/>
        <w:rPr>
          <w:b/>
          <w:bCs/>
          <w:color w:val="auto"/>
          <w:sz w:val="23"/>
          <w:szCs w:val="23"/>
        </w:rPr>
      </w:pPr>
      <w:r w:rsidRPr="00A75C75">
        <w:rPr>
          <w:noProof/>
          <w:color w:val="auto"/>
          <w:lang w:eastAsia="pl-PL"/>
        </w:rPr>
        <w:drawing>
          <wp:inline distT="0" distB="0" distL="0" distR="0" wp14:anchorId="02AD5B99" wp14:editId="1A7BB724">
            <wp:extent cx="5760720" cy="571356"/>
            <wp:effectExtent l="0" t="0" r="0" b="635"/>
            <wp:docPr id="3" name="Obraz 3" descr="C:\Users\Ela Michalczyk\Desktop\LOGA, zasady  prom\2014-2020 RPO\logotypy po 1 stycznia 2018\Poziom\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C:\Users\Ela Michalczyk\Desktop\LOGA, zasady  prom\2014-2020 RPO\logotypy po 1 stycznia 2018\Poziom\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71356"/>
                    </a:xfrm>
                    <a:prstGeom prst="rect">
                      <a:avLst/>
                    </a:prstGeom>
                    <a:noFill/>
                    <a:ln>
                      <a:noFill/>
                    </a:ln>
                  </pic:spPr>
                </pic:pic>
              </a:graphicData>
            </a:graphic>
          </wp:inline>
        </w:drawing>
      </w:r>
    </w:p>
    <w:p w14:paraId="2B901608" w14:textId="77777777" w:rsidR="000F4290" w:rsidRPr="00A75C75" w:rsidRDefault="000F4290" w:rsidP="00C06A14">
      <w:pPr>
        <w:pStyle w:val="Default"/>
        <w:jc w:val="center"/>
        <w:rPr>
          <w:b/>
          <w:bCs/>
          <w:color w:val="auto"/>
          <w:sz w:val="22"/>
          <w:szCs w:val="22"/>
        </w:rPr>
      </w:pPr>
    </w:p>
    <w:p w14:paraId="2A0456F1" w14:textId="77777777" w:rsidR="00887D16" w:rsidRPr="00A75C75" w:rsidRDefault="00C06A14" w:rsidP="00C06A14">
      <w:pPr>
        <w:pStyle w:val="Default"/>
        <w:jc w:val="center"/>
        <w:rPr>
          <w:b/>
          <w:bCs/>
          <w:color w:val="auto"/>
          <w:sz w:val="22"/>
          <w:szCs w:val="22"/>
        </w:rPr>
      </w:pPr>
      <w:r w:rsidRPr="00A75C75">
        <w:rPr>
          <w:b/>
          <w:bCs/>
          <w:color w:val="auto"/>
          <w:sz w:val="22"/>
          <w:szCs w:val="22"/>
        </w:rPr>
        <w:t>WARMIŃSKO-MAZURSKA AGENCJA ROZWOJU REGIONALNEGO S.A. W OLSZTYNIE</w:t>
      </w:r>
    </w:p>
    <w:p w14:paraId="4BC59833" w14:textId="128BCC6B" w:rsidR="00F148FE" w:rsidRPr="00A75C75" w:rsidRDefault="00887D16" w:rsidP="00C06A14">
      <w:pPr>
        <w:pStyle w:val="Default"/>
        <w:jc w:val="center"/>
        <w:rPr>
          <w:color w:val="auto"/>
          <w:sz w:val="18"/>
          <w:szCs w:val="18"/>
        </w:rPr>
      </w:pPr>
      <w:r w:rsidRPr="00A75C75">
        <w:rPr>
          <w:b/>
          <w:bCs/>
          <w:color w:val="auto"/>
          <w:sz w:val="23"/>
          <w:szCs w:val="23"/>
        </w:rPr>
        <w:t>10-516 Olsztyn, Plac Gen. Józefa Bema 3</w:t>
      </w:r>
      <w:r w:rsidR="005438EB" w:rsidRPr="00A75C75">
        <w:rPr>
          <w:b/>
          <w:bCs/>
          <w:color w:val="auto"/>
          <w:sz w:val="23"/>
          <w:szCs w:val="23"/>
        </w:rPr>
        <w:t xml:space="preserve"> </w:t>
      </w:r>
      <w:r w:rsidR="00C06A14" w:rsidRPr="00A75C75">
        <w:rPr>
          <w:b/>
          <w:bCs/>
          <w:color w:val="auto"/>
          <w:sz w:val="23"/>
          <w:szCs w:val="23"/>
        </w:rPr>
        <w:br/>
      </w:r>
      <w:r w:rsidR="00F148FE" w:rsidRPr="00A75C75">
        <w:rPr>
          <w:rFonts w:ascii="Helvetica" w:hAnsi="Helvetica" w:cs="Helvetica"/>
          <w:b/>
          <w:bCs/>
          <w:color w:val="auto"/>
          <w:sz w:val="18"/>
          <w:szCs w:val="18"/>
          <w:shd w:val="clear" w:color="auto" w:fill="FFFFFF"/>
        </w:rPr>
        <w:t>Plac Gen. Józefa Bema 3, 10-516 Olsztyn</w:t>
      </w:r>
    </w:p>
    <w:p w14:paraId="5CA84071" w14:textId="766CB29E" w:rsidR="005438EB" w:rsidRPr="00A75C75" w:rsidRDefault="00461E71" w:rsidP="00C06A14">
      <w:pPr>
        <w:pStyle w:val="Default"/>
        <w:jc w:val="center"/>
        <w:rPr>
          <w:color w:val="auto"/>
          <w:sz w:val="18"/>
          <w:szCs w:val="18"/>
        </w:rPr>
      </w:pPr>
      <w:r w:rsidRPr="00A75C75">
        <w:rPr>
          <w:color w:val="auto"/>
          <w:sz w:val="18"/>
          <w:szCs w:val="18"/>
        </w:rPr>
        <w:t xml:space="preserve">jako Instytucja Pośrednicząca </w:t>
      </w:r>
    </w:p>
    <w:p w14:paraId="3DBD146E" w14:textId="77777777" w:rsidR="005438EB" w:rsidRPr="00A75C75" w:rsidRDefault="005438EB" w:rsidP="005438EB">
      <w:pPr>
        <w:pStyle w:val="Default"/>
        <w:jc w:val="center"/>
        <w:rPr>
          <w:color w:val="auto"/>
          <w:sz w:val="23"/>
          <w:szCs w:val="23"/>
        </w:rPr>
      </w:pPr>
      <w:r w:rsidRPr="00A75C75">
        <w:rPr>
          <w:b/>
          <w:bCs/>
          <w:color w:val="auto"/>
          <w:sz w:val="23"/>
          <w:szCs w:val="23"/>
        </w:rPr>
        <w:t>Regionaln</w:t>
      </w:r>
      <w:r w:rsidR="00461E71" w:rsidRPr="00A75C75">
        <w:rPr>
          <w:b/>
          <w:bCs/>
          <w:color w:val="auto"/>
          <w:sz w:val="23"/>
          <w:szCs w:val="23"/>
        </w:rPr>
        <w:t>ego</w:t>
      </w:r>
      <w:r w:rsidRPr="00A75C75">
        <w:rPr>
          <w:b/>
          <w:bCs/>
          <w:color w:val="auto"/>
          <w:sz w:val="23"/>
          <w:szCs w:val="23"/>
        </w:rPr>
        <w:t xml:space="preserve"> Program</w:t>
      </w:r>
      <w:r w:rsidR="00461E71" w:rsidRPr="00A75C75">
        <w:rPr>
          <w:b/>
          <w:bCs/>
          <w:color w:val="auto"/>
          <w:sz w:val="23"/>
          <w:szCs w:val="23"/>
        </w:rPr>
        <w:t>u</w:t>
      </w:r>
      <w:r w:rsidRPr="00A75C75">
        <w:rPr>
          <w:b/>
          <w:bCs/>
          <w:color w:val="auto"/>
          <w:sz w:val="23"/>
          <w:szCs w:val="23"/>
        </w:rPr>
        <w:t xml:space="preserve"> Operacyjn</w:t>
      </w:r>
      <w:r w:rsidR="00461E71" w:rsidRPr="00A75C75">
        <w:rPr>
          <w:b/>
          <w:bCs/>
          <w:color w:val="auto"/>
          <w:sz w:val="23"/>
          <w:szCs w:val="23"/>
        </w:rPr>
        <w:t>ego</w:t>
      </w:r>
    </w:p>
    <w:p w14:paraId="19C59096" w14:textId="77777777" w:rsidR="005438EB" w:rsidRPr="00A75C75" w:rsidRDefault="005438EB" w:rsidP="005438EB">
      <w:pPr>
        <w:pStyle w:val="Default"/>
        <w:jc w:val="center"/>
        <w:rPr>
          <w:color w:val="auto"/>
          <w:sz w:val="23"/>
          <w:szCs w:val="23"/>
        </w:rPr>
      </w:pPr>
      <w:r w:rsidRPr="00A75C75">
        <w:rPr>
          <w:b/>
          <w:bCs/>
          <w:color w:val="auto"/>
          <w:sz w:val="23"/>
          <w:szCs w:val="23"/>
        </w:rPr>
        <w:t>Województwa Warmińsko-Mazurskiego na lata 2014- 2020</w:t>
      </w:r>
    </w:p>
    <w:p w14:paraId="4B488F0D" w14:textId="356696C0" w:rsidR="005438EB" w:rsidRPr="00A75C75" w:rsidRDefault="00461E71" w:rsidP="005438EB">
      <w:pPr>
        <w:pStyle w:val="Default"/>
        <w:jc w:val="center"/>
        <w:rPr>
          <w:color w:val="auto"/>
          <w:sz w:val="22"/>
          <w:szCs w:val="22"/>
        </w:rPr>
      </w:pPr>
      <w:r w:rsidRPr="00A75C75">
        <w:rPr>
          <w:b/>
          <w:bCs/>
          <w:color w:val="auto"/>
          <w:sz w:val="22"/>
          <w:szCs w:val="22"/>
        </w:rPr>
        <w:t xml:space="preserve">ogłasza KONKURS NR </w:t>
      </w:r>
      <w:r w:rsidR="005E498C" w:rsidRPr="00A75C75">
        <w:rPr>
          <w:b/>
          <w:bCs/>
          <w:color w:val="auto"/>
        </w:rPr>
        <w:t>RPWM.01.02.02</w:t>
      </w:r>
      <w:r w:rsidR="00B22430" w:rsidRPr="00A75C75">
        <w:rPr>
          <w:b/>
          <w:bCs/>
          <w:color w:val="auto"/>
        </w:rPr>
        <w:t>-IP.03</w:t>
      </w:r>
      <w:r w:rsidR="00887D16" w:rsidRPr="00A75C75">
        <w:rPr>
          <w:b/>
          <w:bCs/>
          <w:color w:val="auto"/>
        </w:rPr>
        <w:t>-28-001/19</w:t>
      </w:r>
    </w:p>
    <w:p w14:paraId="39A4C748" w14:textId="77777777" w:rsidR="005438EB" w:rsidRPr="00A75C75" w:rsidRDefault="005438EB" w:rsidP="005438EB">
      <w:pPr>
        <w:pStyle w:val="Default"/>
        <w:jc w:val="center"/>
        <w:rPr>
          <w:color w:val="auto"/>
          <w:sz w:val="18"/>
          <w:szCs w:val="18"/>
        </w:rPr>
      </w:pPr>
      <w:r w:rsidRPr="00A75C75">
        <w:rPr>
          <w:b/>
          <w:bCs/>
          <w:color w:val="auto"/>
          <w:sz w:val="18"/>
          <w:szCs w:val="18"/>
        </w:rPr>
        <w:t>na dofinansowanie projektów ze środków</w:t>
      </w:r>
    </w:p>
    <w:p w14:paraId="017DDBAB" w14:textId="77777777" w:rsidR="005438EB" w:rsidRPr="00A75C75" w:rsidRDefault="005438EB" w:rsidP="005438EB">
      <w:pPr>
        <w:pStyle w:val="Default"/>
        <w:jc w:val="center"/>
        <w:rPr>
          <w:color w:val="auto"/>
          <w:sz w:val="18"/>
          <w:szCs w:val="18"/>
        </w:rPr>
      </w:pPr>
      <w:r w:rsidRPr="00A75C75">
        <w:rPr>
          <w:b/>
          <w:bCs/>
          <w:color w:val="auto"/>
          <w:sz w:val="18"/>
          <w:szCs w:val="18"/>
        </w:rPr>
        <w:t>Regionalnego Programu Operacyjnego Województwa Warmińsko- Mazurskiego na lata 2014- 2020</w:t>
      </w:r>
    </w:p>
    <w:p w14:paraId="5460DFAC" w14:textId="77777777" w:rsidR="005438EB" w:rsidRPr="00A75C75" w:rsidRDefault="005438EB" w:rsidP="005438EB">
      <w:pPr>
        <w:pStyle w:val="Default"/>
        <w:jc w:val="center"/>
        <w:rPr>
          <w:color w:val="auto"/>
          <w:sz w:val="21"/>
          <w:szCs w:val="21"/>
        </w:rPr>
      </w:pPr>
      <w:r w:rsidRPr="00A75C75">
        <w:rPr>
          <w:b/>
          <w:bCs/>
          <w:color w:val="auto"/>
          <w:sz w:val="21"/>
          <w:szCs w:val="21"/>
        </w:rPr>
        <w:t>Z ZAKRESU: OSI PRIORYTETOWEJ 1 INTELIGENTNA GOSPODARKA WARMII I MAZUR</w:t>
      </w:r>
    </w:p>
    <w:p w14:paraId="2371BE4D" w14:textId="77777777" w:rsidR="005438EB" w:rsidRPr="00A75C75" w:rsidRDefault="009820DC" w:rsidP="009B447F">
      <w:pPr>
        <w:pStyle w:val="Default"/>
        <w:spacing w:before="240"/>
        <w:jc w:val="center"/>
        <w:rPr>
          <w:color w:val="auto"/>
          <w:sz w:val="23"/>
          <w:szCs w:val="23"/>
        </w:rPr>
      </w:pPr>
      <w:r w:rsidRPr="00A75C75">
        <w:rPr>
          <w:b/>
          <w:bCs/>
          <w:color w:val="auto"/>
          <w:sz w:val="23"/>
          <w:szCs w:val="23"/>
        </w:rPr>
        <w:t>Działanie 1.2</w:t>
      </w:r>
      <w:r w:rsidR="005438EB" w:rsidRPr="00A75C75">
        <w:rPr>
          <w:b/>
          <w:bCs/>
          <w:color w:val="auto"/>
          <w:sz w:val="23"/>
          <w:szCs w:val="23"/>
        </w:rPr>
        <w:t xml:space="preserve"> </w:t>
      </w:r>
      <w:r w:rsidRPr="00A75C75">
        <w:rPr>
          <w:b/>
          <w:bCs/>
          <w:color w:val="auto"/>
          <w:sz w:val="23"/>
          <w:szCs w:val="23"/>
        </w:rPr>
        <w:t>Innowacyjne firmy</w:t>
      </w:r>
    </w:p>
    <w:p w14:paraId="5D9E55BB" w14:textId="77777777" w:rsidR="005438EB" w:rsidRPr="00A75C75" w:rsidRDefault="00E573C2" w:rsidP="005438EB">
      <w:pPr>
        <w:pStyle w:val="Default"/>
        <w:jc w:val="center"/>
        <w:rPr>
          <w:color w:val="auto"/>
          <w:sz w:val="23"/>
          <w:szCs w:val="23"/>
        </w:rPr>
      </w:pPr>
      <w:r w:rsidRPr="00A75C75">
        <w:rPr>
          <w:b/>
          <w:bCs/>
          <w:color w:val="auto"/>
          <w:sz w:val="23"/>
          <w:szCs w:val="23"/>
        </w:rPr>
        <w:t>Poddziałanie 1.</w:t>
      </w:r>
      <w:r w:rsidR="005E498C" w:rsidRPr="00A75C75">
        <w:rPr>
          <w:b/>
          <w:bCs/>
          <w:color w:val="auto"/>
          <w:sz w:val="23"/>
          <w:szCs w:val="23"/>
        </w:rPr>
        <w:t>2.2</w:t>
      </w:r>
      <w:r w:rsidR="009820DC" w:rsidRPr="00A75C75">
        <w:rPr>
          <w:b/>
          <w:bCs/>
          <w:color w:val="auto"/>
          <w:sz w:val="23"/>
          <w:szCs w:val="23"/>
        </w:rPr>
        <w:t xml:space="preserve"> </w:t>
      </w:r>
      <w:r w:rsidR="005E498C" w:rsidRPr="00A75C75">
        <w:rPr>
          <w:b/>
          <w:bCs/>
          <w:color w:val="auto"/>
          <w:sz w:val="23"/>
          <w:szCs w:val="23"/>
        </w:rPr>
        <w:t>Współpraca biznesu z nauką</w:t>
      </w:r>
    </w:p>
    <w:p w14:paraId="1E4BC4E5" w14:textId="135088BB" w:rsidR="005438EB" w:rsidRPr="00A75C75" w:rsidRDefault="005438EB" w:rsidP="00E573C2">
      <w:pPr>
        <w:autoSpaceDE w:val="0"/>
        <w:autoSpaceDN w:val="0"/>
        <w:adjustRightInd w:val="0"/>
        <w:spacing w:before="240" w:after="0" w:line="240" w:lineRule="auto"/>
        <w:jc w:val="both"/>
        <w:rPr>
          <w:rFonts w:ascii="Arial" w:hAnsi="Arial" w:cs="Arial"/>
          <w:bCs/>
          <w:sz w:val="18"/>
          <w:szCs w:val="18"/>
        </w:rPr>
      </w:pPr>
      <w:r w:rsidRPr="00A75C75">
        <w:rPr>
          <w:rFonts w:ascii="Arial" w:hAnsi="Arial" w:cs="Arial"/>
          <w:sz w:val="18"/>
          <w:szCs w:val="18"/>
        </w:rPr>
        <w:t xml:space="preserve">Nabór będzie przeprowadzony w trybie </w:t>
      </w:r>
      <w:r w:rsidR="00887D16" w:rsidRPr="00A75C75">
        <w:rPr>
          <w:rFonts w:ascii="Arial" w:hAnsi="Arial" w:cs="Arial"/>
          <w:sz w:val="18"/>
          <w:szCs w:val="18"/>
        </w:rPr>
        <w:t>zamkniętym</w:t>
      </w:r>
      <w:r w:rsidRPr="00A75C75">
        <w:rPr>
          <w:rFonts w:ascii="Arial" w:hAnsi="Arial" w:cs="Arial"/>
          <w:sz w:val="18"/>
          <w:szCs w:val="18"/>
        </w:rPr>
        <w:t xml:space="preserve">. </w:t>
      </w:r>
      <w:r w:rsidR="00DE6946" w:rsidRPr="00A75C75">
        <w:rPr>
          <w:rFonts w:ascii="Arial" w:hAnsi="Arial" w:cs="Arial"/>
          <w:sz w:val="18"/>
          <w:szCs w:val="18"/>
        </w:rPr>
        <w:t xml:space="preserve">Konkurs </w:t>
      </w:r>
      <w:r w:rsidR="00887D16" w:rsidRPr="00A75C75">
        <w:rPr>
          <w:rFonts w:ascii="Arial" w:hAnsi="Arial" w:cs="Arial"/>
          <w:sz w:val="18"/>
          <w:szCs w:val="18"/>
        </w:rPr>
        <w:t xml:space="preserve">nie </w:t>
      </w:r>
      <w:r w:rsidR="00DE6946" w:rsidRPr="00A75C75">
        <w:rPr>
          <w:rFonts w:ascii="Arial" w:hAnsi="Arial" w:cs="Arial"/>
          <w:sz w:val="18"/>
          <w:szCs w:val="18"/>
        </w:rPr>
        <w:t xml:space="preserve">jest podzielony na rundy. </w:t>
      </w:r>
      <w:r w:rsidRPr="00A75C75">
        <w:rPr>
          <w:rFonts w:ascii="Arial" w:hAnsi="Arial" w:cs="Arial"/>
          <w:sz w:val="18"/>
          <w:szCs w:val="18"/>
        </w:rPr>
        <w:t xml:space="preserve">Wartość kwoty przeznaczonej na dofinansowanie projektów w konkursie wynosi </w:t>
      </w:r>
      <w:r w:rsidR="00887D16" w:rsidRPr="00A75C75">
        <w:rPr>
          <w:rFonts w:ascii="Arial" w:hAnsi="Arial" w:cs="Arial"/>
          <w:b/>
          <w:sz w:val="18"/>
          <w:szCs w:val="18"/>
        </w:rPr>
        <w:t>4</w:t>
      </w:r>
      <w:r w:rsidR="00CC34B6" w:rsidRPr="00A75C75">
        <w:rPr>
          <w:rFonts w:ascii="Arial" w:hAnsi="Arial" w:cs="Arial"/>
          <w:b/>
          <w:sz w:val="18"/>
          <w:szCs w:val="18"/>
        </w:rPr>
        <w:t> 000 000,00</w:t>
      </w:r>
      <w:r w:rsidR="006141CA" w:rsidRPr="00A75C75">
        <w:rPr>
          <w:sz w:val="18"/>
          <w:szCs w:val="18"/>
        </w:rPr>
        <w:t xml:space="preserve"> </w:t>
      </w:r>
      <w:r w:rsidR="009820DC" w:rsidRPr="00A75C75">
        <w:rPr>
          <w:rFonts w:ascii="Arial" w:hAnsi="Arial" w:cs="Arial"/>
          <w:b/>
          <w:bCs/>
          <w:sz w:val="18"/>
          <w:szCs w:val="18"/>
        </w:rPr>
        <w:t>EUR</w:t>
      </w:r>
      <w:r w:rsidRPr="00A75C75">
        <w:rPr>
          <w:rFonts w:ascii="Arial" w:hAnsi="Arial" w:cs="Arial"/>
          <w:b/>
          <w:bCs/>
          <w:sz w:val="18"/>
          <w:szCs w:val="18"/>
        </w:rPr>
        <w:t xml:space="preserve"> </w:t>
      </w:r>
      <w:r w:rsidR="00FE6336" w:rsidRPr="00A75C75">
        <w:rPr>
          <w:rStyle w:val="Odwoanieprzypisudolnego"/>
          <w:rFonts w:ascii="Arial" w:hAnsi="Arial" w:cs="Arial"/>
          <w:sz w:val="18"/>
          <w:szCs w:val="18"/>
        </w:rPr>
        <w:footnoteReference w:id="1"/>
      </w:r>
      <w:r w:rsidR="00FE6336" w:rsidRPr="00A75C75">
        <w:rPr>
          <w:rFonts w:ascii="Arial" w:hAnsi="Arial" w:cs="Arial"/>
          <w:b/>
          <w:bCs/>
          <w:sz w:val="18"/>
          <w:szCs w:val="18"/>
        </w:rPr>
        <w:t xml:space="preserve"> </w:t>
      </w:r>
      <w:r w:rsidRPr="00A75C75">
        <w:rPr>
          <w:rFonts w:ascii="Arial" w:hAnsi="Arial" w:cs="Arial"/>
          <w:sz w:val="18"/>
          <w:szCs w:val="18"/>
        </w:rPr>
        <w:t xml:space="preserve">co daje kwotę </w:t>
      </w:r>
      <w:r w:rsidR="00887D16" w:rsidRPr="00A75C75">
        <w:rPr>
          <w:rFonts w:ascii="Arial" w:hAnsi="Arial" w:cs="Arial"/>
          <w:b/>
          <w:sz w:val="18"/>
          <w:szCs w:val="18"/>
        </w:rPr>
        <w:t xml:space="preserve">17 258 400,00 </w:t>
      </w:r>
      <w:r w:rsidR="003C5306" w:rsidRPr="00A75C75">
        <w:rPr>
          <w:rFonts w:ascii="Arial" w:hAnsi="Arial" w:cs="Arial"/>
          <w:b/>
          <w:bCs/>
          <w:sz w:val="18"/>
          <w:szCs w:val="18"/>
        </w:rPr>
        <w:t>PLN</w:t>
      </w:r>
      <w:r w:rsidR="009D5347" w:rsidRPr="00A75C75">
        <w:rPr>
          <w:rFonts w:ascii="Arial" w:hAnsi="Arial" w:cs="Arial"/>
          <w:b/>
          <w:bCs/>
          <w:sz w:val="18"/>
          <w:szCs w:val="18"/>
        </w:rPr>
        <w:t xml:space="preserve"> </w:t>
      </w:r>
      <w:r w:rsidR="009D5347" w:rsidRPr="00A75C75">
        <w:rPr>
          <w:rFonts w:ascii="Arial" w:hAnsi="Arial" w:cs="Arial"/>
          <w:bCs/>
          <w:sz w:val="18"/>
          <w:szCs w:val="18"/>
        </w:rPr>
        <w:t>ze środków Europejskiego Funduszu Rozwoju Regionalnego</w:t>
      </w:r>
      <w:r w:rsidR="003C5306" w:rsidRPr="00A75C75">
        <w:rPr>
          <w:rFonts w:ascii="Arial" w:hAnsi="Arial" w:cs="Arial"/>
          <w:bCs/>
          <w:sz w:val="18"/>
          <w:szCs w:val="18"/>
        </w:rPr>
        <w:t>.</w:t>
      </w:r>
    </w:p>
    <w:p w14:paraId="6DE06156" w14:textId="77777777" w:rsidR="00FE68BC" w:rsidRPr="00A75C75" w:rsidRDefault="00FE68BC" w:rsidP="00FE68BC">
      <w:pPr>
        <w:autoSpaceDE w:val="0"/>
        <w:autoSpaceDN w:val="0"/>
        <w:adjustRightInd w:val="0"/>
        <w:spacing w:after="0" w:line="240" w:lineRule="auto"/>
        <w:jc w:val="both"/>
        <w:rPr>
          <w:rFonts w:ascii="Arial" w:hAnsi="Arial" w:cs="Arial"/>
          <w:sz w:val="18"/>
          <w:szCs w:val="18"/>
        </w:rPr>
      </w:pPr>
    </w:p>
    <w:p w14:paraId="4D730A58" w14:textId="34A38D84" w:rsidR="00FE68BC" w:rsidRPr="00A75C75" w:rsidRDefault="00FE68BC" w:rsidP="00FE68BC">
      <w:pPr>
        <w:autoSpaceDE w:val="0"/>
        <w:autoSpaceDN w:val="0"/>
        <w:adjustRightInd w:val="0"/>
        <w:spacing w:after="0" w:line="240" w:lineRule="auto"/>
        <w:jc w:val="both"/>
        <w:rPr>
          <w:rFonts w:ascii="Arial" w:hAnsi="Arial" w:cs="Arial"/>
          <w:sz w:val="18"/>
          <w:szCs w:val="18"/>
        </w:rPr>
      </w:pPr>
      <w:r w:rsidRPr="00A75C75">
        <w:rPr>
          <w:rFonts w:ascii="Arial" w:hAnsi="Arial" w:cs="Arial"/>
          <w:sz w:val="18"/>
          <w:szCs w:val="18"/>
        </w:rPr>
        <w:t>Kody dotyczące wymiaru zakresu interwencji:</w:t>
      </w:r>
    </w:p>
    <w:p w14:paraId="24C20F66" w14:textId="2EE484EA" w:rsidR="00FE68BC" w:rsidRPr="00A75C75" w:rsidRDefault="00FE68BC" w:rsidP="00FE68BC">
      <w:pPr>
        <w:autoSpaceDE w:val="0"/>
        <w:autoSpaceDN w:val="0"/>
        <w:adjustRightInd w:val="0"/>
        <w:spacing w:after="0" w:line="240" w:lineRule="auto"/>
        <w:jc w:val="both"/>
        <w:rPr>
          <w:rFonts w:ascii="Arial" w:hAnsi="Arial" w:cs="Arial"/>
          <w:sz w:val="18"/>
          <w:szCs w:val="18"/>
        </w:rPr>
      </w:pPr>
      <w:r w:rsidRPr="00A75C75">
        <w:rPr>
          <w:rFonts w:ascii="Arial" w:hAnsi="Arial" w:cs="Arial"/>
          <w:sz w:val="18"/>
          <w:szCs w:val="18"/>
        </w:rPr>
        <w:t>062 - Transfer technologii i współpraca między uczelniami a przedsiębiorstwami, z korzyścią głównie dla MŚP</w:t>
      </w:r>
    </w:p>
    <w:p w14:paraId="20CB5C60" w14:textId="7CEFD769" w:rsidR="00FE68BC" w:rsidRPr="00A75C75" w:rsidRDefault="00FE68BC" w:rsidP="00FE68BC">
      <w:pPr>
        <w:autoSpaceDE w:val="0"/>
        <w:autoSpaceDN w:val="0"/>
        <w:adjustRightInd w:val="0"/>
        <w:spacing w:after="0" w:line="240" w:lineRule="auto"/>
        <w:ind w:left="426" w:hanging="426"/>
        <w:jc w:val="both"/>
        <w:rPr>
          <w:rFonts w:ascii="Arial" w:hAnsi="Arial" w:cs="Arial"/>
          <w:sz w:val="18"/>
          <w:szCs w:val="18"/>
        </w:rPr>
      </w:pPr>
      <w:r w:rsidRPr="00A75C75">
        <w:rPr>
          <w:rFonts w:ascii="Arial" w:hAnsi="Arial" w:cs="Arial"/>
          <w:sz w:val="18"/>
          <w:szCs w:val="18"/>
        </w:rPr>
        <w:t>101 - Finansowanie krzyżowe w ramach EFRR (wsparcie dla przedsięwzięć typowych dla EFS, koniecznych do zadowalającego wdrożenia części przedsięwzięć związanej bezpośrednio z EFRR</w:t>
      </w:r>
    </w:p>
    <w:p w14:paraId="3B5CC453" w14:textId="77777777" w:rsidR="00E4232A" w:rsidRPr="00A75C75" w:rsidRDefault="00E4232A" w:rsidP="009F462F">
      <w:pPr>
        <w:pStyle w:val="Default"/>
        <w:spacing w:before="240"/>
        <w:rPr>
          <w:b/>
          <w:bCs/>
          <w:color w:val="auto"/>
          <w:sz w:val="18"/>
          <w:szCs w:val="18"/>
        </w:rPr>
      </w:pPr>
    </w:p>
    <w:p w14:paraId="70E46603" w14:textId="00D5FA54" w:rsidR="00E4232A" w:rsidRPr="00A75C75" w:rsidRDefault="00E4232A" w:rsidP="00F9529B">
      <w:pPr>
        <w:jc w:val="both"/>
        <w:rPr>
          <w:rFonts w:ascii="Arial" w:hAnsi="Arial" w:cs="Arial"/>
          <w:bCs/>
          <w:sz w:val="18"/>
          <w:szCs w:val="18"/>
        </w:rPr>
      </w:pPr>
      <w:r w:rsidRPr="00A75C75">
        <w:rPr>
          <w:rFonts w:ascii="Arial" w:hAnsi="Arial" w:cs="Arial"/>
          <w:bCs/>
          <w:sz w:val="18"/>
          <w:szCs w:val="18"/>
        </w:rPr>
        <w:t>Maksymalny poziom dofinansowania projektu ze środków EFRR  powinien zostać wyliczony zgodnie z aktualnie obowiązującymi przepisami dotyczącymi pomocy publicznej/ pomocy de minimis (jeśli dotyczy). Maksymalny udział środków EFRR nie może być wyższy niż 85% wydatków kwalifikowanych na poziomie projektu.</w:t>
      </w:r>
    </w:p>
    <w:p w14:paraId="1A173598" w14:textId="3631C738" w:rsidR="00025576" w:rsidRPr="00A75C75" w:rsidRDefault="005438EB" w:rsidP="009F462F">
      <w:pPr>
        <w:pStyle w:val="Default"/>
        <w:spacing w:before="240"/>
        <w:rPr>
          <w:b/>
          <w:bCs/>
          <w:color w:val="auto"/>
          <w:sz w:val="18"/>
          <w:szCs w:val="18"/>
        </w:rPr>
      </w:pPr>
      <w:r w:rsidRPr="00A75C75">
        <w:rPr>
          <w:b/>
          <w:bCs/>
          <w:color w:val="auto"/>
          <w:sz w:val="18"/>
          <w:szCs w:val="18"/>
        </w:rPr>
        <w:t>O d</w:t>
      </w:r>
      <w:r w:rsidR="0005305E" w:rsidRPr="00A75C75">
        <w:rPr>
          <w:b/>
          <w:bCs/>
          <w:color w:val="auto"/>
          <w:sz w:val="18"/>
          <w:szCs w:val="18"/>
        </w:rPr>
        <w:t xml:space="preserve">ofinansowanie mogą ubiegać się: </w:t>
      </w:r>
    </w:p>
    <w:p w14:paraId="7E2BDB4C" w14:textId="77777777" w:rsidR="009322CA" w:rsidRPr="00A75C75" w:rsidRDefault="009322CA" w:rsidP="009322CA">
      <w:pPr>
        <w:pStyle w:val="Default"/>
        <w:numPr>
          <w:ilvl w:val="0"/>
          <w:numId w:val="18"/>
        </w:numPr>
        <w:spacing w:after="39"/>
        <w:ind w:left="360"/>
        <w:jc w:val="both"/>
        <w:rPr>
          <w:color w:val="auto"/>
          <w:sz w:val="18"/>
          <w:szCs w:val="18"/>
        </w:rPr>
      </w:pPr>
      <w:r w:rsidRPr="00A75C75">
        <w:rPr>
          <w:color w:val="auto"/>
          <w:sz w:val="18"/>
          <w:szCs w:val="18"/>
        </w:rPr>
        <w:t xml:space="preserve">Schemat A i B: – przedsiębiorstwa z sektora MŚP; </w:t>
      </w:r>
    </w:p>
    <w:p w14:paraId="738900BF" w14:textId="77777777" w:rsidR="009322CA" w:rsidRPr="00A75C75" w:rsidRDefault="009322CA" w:rsidP="009322CA">
      <w:pPr>
        <w:pStyle w:val="Default"/>
        <w:numPr>
          <w:ilvl w:val="0"/>
          <w:numId w:val="18"/>
        </w:numPr>
        <w:spacing w:after="39"/>
        <w:ind w:left="360"/>
        <w:jc w:val="both"/>
        <w:rPr>
          <w:color w:val="auto"/>
          <w:sz w:val="18"/>
          <w:szCs w:val="18"/>
        </w:rPr>
      </w:pPr>
      <w:r w:rsidRPr="00A75C75">
        <w:rPr>
          <w:color w:val="auto"/>
          <w:sz w:val="18"/>
          <w:szCs w:val="18"/>
        </w:rPr>
        <w:t xml:space="preserve">Schemat C: – przedsiębiorstwa z sektora MŚP oraz przedsiębiorstwa duże (pod warunkiem wykazania przez Beneficjenta mechanizmu zapewnienia dyfuzji wyników prowadzonej działalności badawczo – rozwojowej do gospodarki regionu oraz zapewnienie, że wkład finansowy z funduszy nie spowoduje znacznego ubytku liczby miejsc pracy w istniejących lokalizacjach na terytorium UE; </w:t>
      </w:r>
    </w:p>
    <w:p w14:paraId="69EE8F41" w14:textId="77777777" w:rsidR="009322CA" w:rsidRPr="00A75C75" w:rsidRDefault="009322CA" w:rsidP="009322CA">
      <w:pPr>
        <w:pStyle w:val="Default"/>
        <w:numPr>
          <w:ilvl w:val="0"/>
          <w:numId w:val="18"/>
        </w:numPr>
        <w:ind w:left="360"/>
        <w:jc w:val="both"/>
        <w:rPr>
          <w:color w:val="auto"/>
          <w:sz w:val="18"/>
          <w:szCs w:val="18"/>
        </w:rPr>
      </w:pPr>
      <w:r w:rsidRPr="00A75C75">
        <w:rPr>
          <w:color w:val="auto"/>
          <w:sz w:val="18"/>
          <w:szCs w:val="18"/>
        </w:rPr>
        <w:t xml:space="preserve">Schemat A, B i C: - konsorcja: przedsiębiorstw, IOB, podmiotów sektora naukowo badawczego, uczelni, przy czym liderem konsorcjum musi być przedsiębiorstwo. </w:t>
      </w:r>
    </w:p>
    <w:p w14:paraId="1BF8EF3B" w14:textId="77777777" w:rsidR="009322CA" w:rsidRPr="00A75C75" w:rsidRDefault="009322CA" w:rsidP="009322CA">
      <w:pPr>
        <w:spacing w:line="276" w:lineRule="auto"/>
        <w:jc w:val="both"/>
        <w:rPr>
          <w:rFonts w:ascii="Arial" w:hAnsi="Arial" w:cs="Arial"/>
          <w:sz w:val="18"/>
          <w:szCs w:val="18"/>
        </w:rPr>
      </w:pPr>
    </w:p>
    <w:p w14:paraId="30F9E751" w14:textId="37FE5CB6" w:rsidR="009322CA" w:rsidRPr="00A75C75" w:rsidRDefault="009322CA" w:rsidP="009322CA">
      <w:pPr>
        <w:spacing w:line="276" w:lineRule="auto"/>
        <w:jc w:val="both"/>
        <w:rPr>
          <w:rFonts w:ascii="Arial" w:hAnsi="Arial" w:cs="Arial"/>
          <w:sz w:val="18"/>
          <w:szCs w:val="18"/>
        </w:rPr>
      </w:pPr>
      <w:r w:rsidRPr="00A75C75">
        <w:rPr>
          <w:rFonts w:ascii="Arial" w:hAnsi="Arial" w:cs="Arial"/>
          <w:sz w:val="18"/>
          <w:szCs w:val="18"/>
        </w:rPr>
        <w:t>W niniejszym Poddziałaniu dopuszczalne jest aplikowanie o środki przez duże przedsiębiorstwa, pod warunkiem wykazania przez Beneficjenta mechanizmu zapewnienia dyfuzji wyników prowadzonej działalności badawczo-rozwojowej do gospodarki regionu oraz zapewnienia, że wkład finansowy z funduszy nie spowoduje znacznego ubytku liczby miejsc pracy w istniejących lokalizacjach na terytorium UE.</w:t>
      </w:r>
    </w:p>
    <w:p w14:paraId="7301DF9C" w14:textId="3C3DFC04" w:rsidR="00887D16" w:rsidRPr="00A75C75" w:rsidRDefault="00887D16" w:rsidP="009322CA">
      <w:pPr>
        <w:autoSpaceDE w:val="0"/>
        <w:autoSpaceDN w:val="0"/>
        <w:adjustRightInd w:val="0"/>
        <w:spacing w:after="0" w:line="240" w:lineRule="auto"/>
        <w:jc w:val="both"/>
        <w:rPr>
          <w:rFonts w:ascii="Arial" w:hAnsi="Arial" w:cs="Arial"/>
          <w:sz w:val="18"/>
          <w:szCs w:val="18"/>
        </w:rPr>
      </w:pPr>
      <w:r w:rsidRPr="00A75C75">
        <w:rPr>
          <w:rFonts w:ascii="Arial" w:hAnsi="Arial" w:cs="Arial"/>
          <w:sz w:val="18"/>
          <w:szCs w:val="18"/>
        </w:rPr>
        <w:t>Działalność wnioskodawcy (w tym także partnerów) musi być prowadzona na terenie województwa warmińsko-mazurskiego, przy czym lokalizacja siedziby/oddziału wnioskodawcy  (w tym także partnerów) musi znajdować się na terenie województwa warmińsko-mazurskiego. Warunek nie będzie spełniony w przypadku prowadzenia działalności/lokalizacji siedziby lub oddziału w tzw. wirtualnym biurze.</w:t>
      </w:r>
    </w:p>
    <w:p w14:paraId="165B249A" w14:textId="77777777" w:rsidR="00FB3A9F" w:rsidRPr="00A75C75" w:rsidRDefault="00FB3A9F" w:rsidP="005438EB">
      <w:pPr>
        <w:pStyle w:val="Default"/>
        <w:rPr>
          <w:b/>
          <w:bCs/>
          <w:color w:val="auto"/>
          <w:sz w:val="18"/>
          <w:szCs w:val="18"/>
        </w:rPr>
      </w:pPr>
      <w:bookmarkStart w:id="0" w:name="_GoBack"/>
      <w:bookmarkEnd w:id="0"/>
    </w:p>
    <w:p w14:paraId="3E90198D" w14:textId="77777777" w:rsidR="00252467" w:rsidRPr="00A75C75" w:rsidRDefault="005438EB" w:rsidP="005438EB">
      <w:pPr>
        <w:pStyle w:val="Default"/>
        <w:rPr>
          <w:b/>
          <w:bCs/>
          <w:color w:val="auto"/>
          <w:sz w:val="18"/>
          <w:szCs w:val="18"/>
        </w:rPr>
      </w:pPr>
      <w:r w:rsidRPr="00A75C75">
        <w:rPr>
          <w:b/>
          <w:bCs/>
          <w:color w:val="auto"/>
          <w:sz w:val="18"/>
          <w:szCs w:val="18"/>
        </w:rPr>
        <w:t>Minimalna wartość projektu:</w:t>
      </w:r>
    </w:p>
    <w:p w14:paraId="21DA1D12" w14:textId="77777777" w:rsidR="00887D16" w:rsidRPr="00A75C75" w:rsidRDefault="00887D16" w:rsidP="00887D16">
      <w:pPr>
        <w:pStyle w:val="Default"/>
        <w:rPr>
          <w:bCs/>
          <w:color w:val="auto"/>
          <w:sz w:val="18"/>
          <w:szCs w:val="18"/>
        </w:rPr>
      </w:pPr>
      <w:r w:rsidRPr="00A75C75">
        <w:rPr>
          <w:bCs/>
          <w:color w:val="auto"/>
          <w:sz w:val="18"/>
          <w:szCs w:val="18"/>
        </w:rPr>
        <w:t>Schemat A,B i C – nie dotyczy</w:t>
      </w:r>
    </w:p>
    <w:p w14:paraId="2BB7B6AC" w14:textId="77777777" w:rsidR="00252467" w:rsidRPr="00A75C75" w:rsidRDefault="0005305E" w:rsidP="005438EB">
      <w:pPr>
        <w:pStyle w:val="Default"/>
        <w:rPr>
          <w:b/>
          <w:bCs/>
          <w:color w:val="auto"/>
          <w:sz w:val="18"/>
          <w:szCs w:val="18"/>
        </w:rPr>
      </w:pPr>
      <w:r w:rsidRPr="00A75C75">
        <w:rPr>
          <w:b/>
          <w:bCs/>
          <w:color w:val="auto"/>
          <w:sz w:val="18"/>
          <w:szCs w:val="18"/>
        </w:rPr>
        <w:t xml:space="preserve">Maksymalna wartość projektu: </w:t>
      </w:r>
    </w:p>
    <w:p w14:paraId="41E7BF39" w14:textId="77777777" w:rsidR="00252467" w:rsidRPr="00A75C75" w:rsidRDefault="00252467" w:rsidP="005438EB">
      <w:pPr>
        <w:pStyle w:val="Default"/>
        <w:rPr>
          <w:bCs/>
          <w:color w:val="auto"/>
          <w:sz w:val="18"/>
          <w:szCs w:val="18"/>
        </w:rPr>
      </w:pPr>
      <w:r w:rsidRPr="00A75C75">
        <w:rPr>
          <w:bCs/>
          <w:color w:val="auto"/>
          <w:sz w:val="18"/>
          <w:szCs w:val="18"/>
        </w:rPr>
        <w:lastRenderedPageBreak/>
        <w:t>Schemat A,B i C – nie dotyczy</w:t>
      </w:r>
    </w:p>
    <w:p w14:paraId="729FC645" w14:textId="792446C8" w:rsidR="005438EB" w:rsidRPr="00A75C75" w:rsidRDefault="005438EB" w:rsidP="005438EB">
      <w:pPr>
        <w:pStyle w:val="Default"/>
        <w:rPr>
          <w:b/>
          <w:bCs/>
          <w:color w:val="auto"/>
          <w:sz w:val="18"/>
          <w:szCs w:val="18"/>
        </w:rPr>
      </w:pPr>
      <w:r w:rsidRPr="00A75C75">
        <w:rPr>
          <w:b/>
          <w:bCs/>
          <w:color w:val="auto"/>
          <w:sz w:val="18"/>
          <w:szCs w:val="18"/>
        </w:rPr>
        <w:t>Minimalna wart</w:t>
      </w:r>
      <w:r w:rsidR="00320843" w:rsidRPr="00A75C75">
        <w:rPr>
          <w:b/>
          <w:bCs/>
          <w:color w:val="auto"/>
          <w:sz w:val="18"/>
          <w:szCs w:val="18"/>
        </w:rPr>
        <w:t>ość wydatków kwalifikowalnych</w:t>
      </w:r>
      <w:r w:rsidR="00EA734F" w:rsidRPr="00A75C75">
        <w:rPr>
          <w:b/>
          <w:bCs/>
          <w:color w:val="auto"/>
          <w:sz w:val="18"/>
          <w:szCs w:val="18"/>
        </w:rPr>
        <w:t xml:space="preserve"> projektu:</w:t>
      </w:r>
    </w:p>
    <w:p w14:paraId="792DEA35" w14:textId="77777777" w:rsidR="00887D16" w:rsidRPr="00A75C75" w:rsidRDefault="00887D16" w:rsidP="00887D16">
      <w:pPr>
        <w:pStyle w:val="Default"/>
        <w:rPr>
          <w:bCs/>
          <w:color w:val="auto"/>
          <w:sz w:val="18"/>
          <w:szCs w:val="18"/>
        </w:rPr>
      </w:pPr>
      <w:r w:rsidRPr="00A75C75">
        <w:rPr>
          <w:bCs/>
          <w:color w:val="auto"/>
          <w:sz w:val="18"/>
          <w:szCs w:val="18"/>
        </w:rPr>
        <w:t>Schemat A,B i C – nie dotyczy</w:t>
      </w:r>
    </w:p>
    <w:p w14:paraId="16618DBB" w14:textId="76ABFF4B" w:rsidR="005438EB" w:rsidRPr="00A75C75" w:rsidRDefault="005438EB" w:rsidP="005438EB">
      <w:pPr>
        <w:pStyle w:val="Default"/>
        <w:rPr>
          <w:b/>
          <w:bCs/>
          <w:color w:val="auto"/>
          <w:sz w:val="18"/>
          <w:szCs w:val="18"/>
        </w:rPr>
      </w:pPr>
      <w:r w:rsidRPr="00A75C75">
        <w:rPr>
          <w:b/>
          <w:bCs/>
          <w:color w:val="auto"/>
          <w:sz w:val="18"/>
          <w:szCs w:val="18"/>
        </w:rPr>
        <w:t>Maksymalna wartość wydatków kwalifikowalnych</w:t>
      </w:r>
      <w:r w:rsidR="00EA734F" w:rsidRPr="00A75C75">
        <w:rPr>
          <w:b/>
          <w:bCs/>
          <w:color w:val="auto"/>
          <w:sz w:val="18"/>
          <w:szCs w:val="18"/>
        </w:rPr>
        <w:t xml:space="preserve"> projektu:</w:t>
      </w:r>
    </w:p>
    <w:p w14:paraId="717EDE2D" w14:textId="77777777" w:rsidR="00887D16" w:rsidRPr="00A75C75" w:rsidRDefault="00887D16" w:rsidP="00887D16">
      <w:pPr>
        <w:pStyle w:val="Default"/>
        <w:rPr>
          <w:bCs/>
          <w:color w:val="auto"/>
          <w:sz w:val="18"/>
          <w:szCs w:val="18"/>
        </w:rPr>
      </w:pPr>
      <w:r w:rsidRPr="00A75C75">
        <w:rPr>
          <w:bCs/>
          <w:color w:val="auto"/>
          <w:sz w:val="18"/>
          <w:szCs w:val="18"/>
        </w:rPr>
        <w:t>Schemat A,B i C – nie dotyczy</w:t>
      </w:r>
    </w:p>
    <w:p w14:paraId="7E89B9B4" w14:textId="77777777" w:rsidR="00BD52D6" w:rsidRPr="00A75C75" w:rsidRDefault="00BD52D6" w:rsidP="00BD52D6">
      <w:pPr>
        <w:suppressAutoHyphens/>
        <w:spacing w:after="0" w:line="240" w:lineRule="auto"/>
        <w:jc w:val="both"/>
        <w:rPr>
          <w:rFonts w:ascii="Arial" w:hAnsi="Arial" w:cs="Arial"/>
          <w:sz w:val="18"/>
          <w:szCs w:val="18"/>
          <w:highlight w:val="yellow"/>
        </w:rPr>
      </w:pPr>
    </w:p>
    <w:p w14:paraId="2BF10D75" w14:textId="0BFFAC6A" w:rsidR="00F9529B" w:rsidRPr="00A75C75" w:rsidRDefault="00F9529B" w:rsidP="00F9529B">
      <w:pPr>
        <w:jc w:val="both"/>
        <w:rPr>
          <w:rFonts w:ascii="Arial" w:hAnsi="Arial" w:cs="Arial"/>
          <w:sz w:val="18"/>
          <w:szCs w:val="18"/>
        </w:rPr>
      </w:pPr>
      <w:r w:rsidRPr="00A75C75">
        <w:rPr>
          <w:rFonts w:ascii="Arial" w:hAnsi="Arial" w:cs="Arial"/>
          <w:b/>
          <w:sz w:val="18"/>
          <w:szCs w:val="18"/>
        </w:rPr>
        <w:t>Minimalny wkład własny beneficjenta</w:t>
      </w:r>
      <w:r w:rsidRPr="00A75C75">
        <w:rPr>
          <w:rFonts w:ascii="Arial" w:hAnsi="Arial" w:cs="Arial"/>
          <w:sz w:val="18"/>
          <w:szCs w:val="18"/>
        </w:rPr>
        <w:t xml:space="preserve">  powinien zostać wyliczony zgodnie z aktualnie obowiązującymi przepisami dotyczącymi pomocy publicznej/ pomocy de minimis (jeśli dotyczy). Minimalny wkład własny beneficjenta nie może być niższy niż 15% wydatków kwalifikowanych na poziomie projektu.</w:t>
      </w:r>
    </w:p>
    <w:p w14:paraId="59DB3666" w14:textId="77777777" w:rsidR="00887D16" w:rsidRPr="00A75C75" w:rsidRDefault="00887D16" w:rsidP="00887D16">
      <w:pPr>
        <w:jc w:val="both"/>
        <w:rPr>
          <w:rFonts w:ascii="Arial" w:hAnsi="Arial" w:cs="Arial"/>
          <w:sz w:val="18"/>
          <w:szCs w:val="18"/>
        </w:rPr>
      </w:pPr>
      <w:r w:rsidRPr="00A75C75">
        <w:rPr>
          <w:rFonts w:ascii="Arial" w:hAnsi="Arial" w:cs="Arial"/>
          <w:sz w:val="18"/>
          <w:szCs w:val="18"/>
        </w:rPr>
        <w:t>Wkład własny beneficjenta inny niż pieniężny nie jest dopuszczalny</w:t>
      </w:r>
    </w:p>
    <w:p w14:paraId="50889630" w14:textId="77777777" w:rsidR="00887D16" w:rsidRPr="00A75C75" w:rsidRDefault="00887D16" w:rsidP="00887D16">
      <w:pPr>
        <w:spacing w:after="0" w:line="240" w:lineRule="auto"/>
        <w:jc w:val="both"/>
        <w:rPr>
          <w:rFonts w:ascii="Arial" w:hAnsi="Arial" w:cs="Arial"/>
          <w:sz w:val="18"/>
          <w:szCs w:val="18"/>
        </w:rPr>
      </w:pPr>
      <w:r w:rsidRPr="00A75C75">
        <w:rPr>
          <w:rFonts w:ascii="Arial" w:hAnsi="Arial" w:cs="Arial"/>
          <w:sz w:val="18"/>
          <w:szCs w:val="18"/>
        </w:rPr>
        <w:t>Realizacja projektu musi się zakończyć najpóźniej do 31.12.2022 r.</w:t>
      </w:r>
    </w:p>
    <w:p w14:paraId="66FED917" w14:textId="77777777" w:rsidR="00887D16" w:rsidRPr="00A75C75" w:rsidRDefault="00887D16" w:rsidP="00F9529B">
      <w:pPr>
        <w:jc w:val="both"/>
        <w:rPr>
          <w:rFonts w:ascii="Arial" w:hAnsi="Arial" w:cs="Arial"/>
          <w:sz w:val="18"/>
          <w:szCs w:val="18"/>
        </w:rPr>
      </w:pPr>
    </w:p>
    <w:p w14:paraId="532A887B" w14:textId="77777777" w:rsidR="005438EB" w:rsidRPr="00A75C75" w:rsidRDefault="005438EB" w:rsidP="009F462F">
      <w:pPr>
        <w:pStyle w:val="Default"/>
        <w:spacing w:before="240"/>
        <w:rPr>
          <w:color w:val="auto"/>
          <w:sz w:val="18"/>
          <w:szCs w:val="18"/>
        </w:rPr>
      </w:pPr>
      <w:r w:rsidRPr="00A75C75">
        <w:rPr>
          <w:b/>
          <w:bCs/>
          <w:color w:val="auto"/>
          <w:sz w:val="18"/>
          <w:szCs w:val="18"/>
        </w:rPr>
        <w:t xml:space="preserve">Przewidziane do wsparcia typy projektów: </w:t>
      </w:r>
    </w:p>
    <w:p w14:paraId="4FA67EF9" w14:textId="77777777" w:rsidR="000630A3" w:rsidRPr="00A75C75" w:rsidRDefault="000630A3" w:rsidP="000630A3">
      <w:pPr>
        <w:autoSpaceDE w:val="0"/>
        <w:autoSpaceDN w:val="0"/>
        <w:adjustRightInd w:val="0"/>
        <w:spacing w:after="0" w:line="240" w:lineRule="auto"/>
        <w:rPr>
          <w:rFonts w:ascii="Arial" w:hAnsi="Arial" w:cs="Arial"/>
          <w:sz w:val="18"/>
          <w:szCs w:val="18"/>
        </w:rPr>
      </w:pPr>
    </w:p>
    <w:p w14:paraId="1307AA95" w14:textId="77777777" w:rsidR="009322CA" w:rsidRPr="00A75C75" w:rsidRDefault="009322CA" w:rsidP="009322CA">
      <w:pPr>
        <w:tabs>
          <w:tab w:val="num" w:pos="567"/>
        </w:tabs>
        <w:suppressAutoHyphens/>
        <w:snapToGrid w:val="0"/>
        <w:spacing w:after="44" w:line="276" w:lineRule="auto"/>
        <w:jc w:val="both"/>
        <w:rPr>
          <w:rFonts w:ascii="Arial" w:hAnsi="Arial" w:cs="Arial"/>
          <w:sz w:val="18"/>
          <w:szCs w:val="18"/>
        </w:rPr>
      </w:pPr>
      <w:r w:rsidRPr="00A75C75">
        <w:rPr>
          <w:rFonts w:ascii="Arial" w:hAnsi="Arial" w:cs="Arial"/>
          <w:sz w:val="18"/>
          <w:szCs w:val="18"/>
        </w:rPr>
        <w:t>Projekty w poddziałaniu będą polegały na zakupie usług B+R oraz wykorzystaniu w przedsiębi</w:t>
      </w:r>
      <w:r w:rsidRPr="00A75C75">
        <w:rPr>
          <w:rFonts w:ascii="Arial" w:eastAsia="Times New Roman" w:hAnsi="Arial" w:cs="Arial"/>
          <w:b/>
          <w:sz w:val="18"/>
          <w:szCs w:val="18"/>
          <w:lang w:eastAsia="ar-SA"/>
        </w:rPr>
        <w:t>orstwach wyników badań/ rozwiązań technologicznych wypracowa</w:t>
      </w:r>
      <w:r w:rsidRPr="00A75C75">
        <w:rPr>
          <w:rFonts w:ascii="Arial" w:hAnsi="Arial" w:cs="Arial"/>
          <w:sz w:val="18"/>
          <w:szCs w:val="18"/>
        </w:rPr>
        <w:t xml:space="preserve">nych z naukowcami/ podmiotami oferującymi usługi naukowe i badawczo-rozwojowe, w następujących schematach:: </w:t>
      </w:r>
    </w:p>
    <w:p w14:paraId="2827DD8A" w14:textId="77777777" w:rsidR="009322CA" w:rsidRPr="00A75C75" w:rsidRDefault="009322CA" w:rsidP="009322CA">
      <w:pPr>
        <w:pStyle w:val="Default"/>
        <w:numPr>
          <w:ilvl w:val="0"/>
          <w:numId w:val="17"/>
        </w:numPr>
        <w:ind w:left="360"/>
        <w:jc w:val="both"/>
        <w:rPr>
          <w:color w:val="auto"/>
          <w:sz w:val="18"/>
          <w:szCs w:val="18"/>
        </w:rPr>
      </w:pPr>
      <w:r w:rsidRPr="00A75C75">
        <w:rPr>
          <w:b/>
          <w:bCs/>
          <w:color w:val="auto"/>
          <w:sz w:val="18"/>
          <w:szCs w:val="18"/>
        </w:rPr>
        <w:t>Schemat A: „</w:t>
      </w:r>
      <w:r w:rsidRPr="00A75C75">
        <w:rPr>
          <w:i/>
          <w:iCs/>
          <w:color w:val="auto"/>
          <w:sz w:val="18"/>
          <w:szCs w:val="18"/>
        </w:rPr>
        <w:t>Bon na nawiązanie współpracy</w:t>
      </w:r>
      <w:r w:rsidRPr="00A75C75">
        <w:rPr>
          <w:color w:val="auto"/>
          <w:sz w:val="18"/>
          <w:szCs w:val="18"/>
        </w:rPr>
        <w:t xml:space="preserve">” – instrument polegający na finansowaniu dotacyjnym projektów mających na celu zakup usług B+R oraz usług doradczych związanych z B+R. </w:t>
      </w:r>
    </w:p>
    <w:p w14:paraId="1C6AAE95" w14:textId="77777777" w:rsidR="009322CA" w:rsidRPr="00A75C75" w:rsidRDefault="009322CA" w:rsidP="009322CA">
      <w:pPr>
        <w:pStyle w:val="Default"/>
        <w:ind w:left="360"/>
        <w:jc w:val="both"/>
        <w:rPr>
          <w:color w:val="auto"/>
          <w:sz w:val="18"/>
          <w:szCs w:val="18"/>
        </w:rPr>
      </w:pPr>
      <w:r w:rsidRPr="00A75C75">
        <w:rPr>
          <w:color w:val="auto"/>
          <w:sz w:val="18"/>
          <w:szCs w:val="18"/>
        </w:rPr>
        <w:t xml:space="preserve">Działanie służy wspomaganiu inicjowania współpracy w obszarze B+R pomiędzy przedsiębiorstwami a naukowcami/ podmiotami oferującymi usługi naukowe i badawczo-rozwojowe, zarówno z jak i spoza regionu oraz z innych krajów UE. </w:t>
      </w:r>
    </w:p>
    <w:p w14:paraId="43B84D7D" w14:textId="77777777" w:rsidR="009322CA" w:rsidRPr="00A75C75" w:rsidRDefault="009322CA" w:rsidP="009322CA">
      <w:pPr>
        <w:pStyle w:val="Default"/>
        <w:ind w:left="360"/>
        <w:jc w:val="both"/>
        <w:rPr>
          <w:color w:val="auto"/>
          <w:sz w:val="18"/>
          <w:szCs w:val="18"/>
        </w:rPr>
      </w:pPr>
      <w:r w:rsidRPr="00A75C75">
        <w:rPr>
          <w:color w:val="auto"/>
          <w:sz w:val="18"/>
          <w:szCs w:val="18"/>
        </w:rPr>
        <w:t xml:space="preserve">Zakres merytoryczny współpracy może dotyczyć takich działań jak: wykonanie badań, wsparcie rozwoju technologii lub produktu na wstępnym etapie jego opracowywania, przygotowanie do komercjalizacji wyników prac B+R. Zakładanym rezultatem projektu powinno być wywoływanie współpracy pomiędzy wnioskodawcą i sektorem naukowo-badawczym. Efektem współpracy powinno być rozwiązanie określonego problemu, prowadzące do rozwoju firmy i w perspektywie zapewniające podniesienie jej innowacyjności. Przykładowymi projektami mogą być: dopracowanie nowego produktu lub technologii, pomoc doradcza we wdrożeniu nowej technologii, badanie wyrobu na zgodność z normą. Środki wsparcia w ramach niniejszego działania są przeznaczone na finansowanie usług badawczo-rozwojowych realizowanych przez naukowców/ podmioty oferujące usługi naukowe i badawczo-rozwojowe. </w:t>
      </w:r>
    </w:p>
    <w:p w14:paraId="10819991" w14:textId="77777777" w:rsidR="009322CA" w:rsidRPr="00A75C75" w:rsidRDefault="009322CA" w:rsidP="009322CA">
      <w:pPr>
        <w:pStyle w:val="Default"/>
        <w:numPr>
          <w:ilvl w:val="0"/>
          <w:numId w:val="17"/>
        </w:numPr>
        <w:ind w:left="360"/>
        <w:jc w:val="both"/>
        <w:rPr>
          <w:color w:val="auto"/>
          <w:sz w:val="18"/>
          <w:szCs w:val="18"/>
        </w:rPr>
      </w:pPr>
      <w:r w:rsidRPr="00A75C75">
        <w:rPr>
          <w:b/>
          <w:bCs/>
          <w:color w:val="auto"/>
          <w:sz w:val="18"/>
          <w:szCs w:val="18"/>
        </w:rPr>
        <w:t>Schemat B: „</w:t>
      </w:r>
      <w:r w:rsidRPr="00A75C75">
        <w:rPr>
          <w:i/>
          <w:iCs/>
          <w:color w:val="auto"/>
          <w:sz w:val="18"/>
          <w:szCs w:val="18"/>
        </w:rPr>
        <w:t>Bon na rozwój współpracy poprzez projekty B+R</w:t>
      </w:r>
      <w:r w:rsidRPr="00A75C75">
        <w:rPr>
          <w:color w:val="auto"/>
          <w:sz w:val="18"/>
          <w:szCs w:val="18"/>
        </w:rPr>
        <w:t xml:space="preserve">” – dotacje przeznaczone na rozwój nowych lub udoskonalenie obecnie oferowanych i wykorzystywanych produktów/ usług/ technologii, przygotowanie do uzyskania akredytacji i certyfikacji, proces akredytacji i certyfikacji oraz proces uzyskiwania ochrony praw własności intelektualnej, z wyłączeniem kosztów postępowań sądowych. </w:t>
      </w:r>
    </w:p>
    <w:p w14:paraId="56ED0B64" w14:textId="77777777" w:rsidR="009322CA" w:rsidRPr="00A75C75" w:rsidRDefault="009322CA" w:rsidP="009322CA">
      <w:pPr>
        <w:pStyle w:val="Default"/>
        <w:tabs>
          <w:tab w:val="left" w:pos="426"/>
        </w:tabs>
        <w:ind w:left="360"/>
        <w:jc w:val="both"/>
        <w:rPr>
          <w:color w:val="auto"/>
          <w:sz w:val="18"/>
          <w:szCs w:val="18"/>
        </w:rPr>
      </w:pPr>
      <w:r w:rsidRPr="00A75C75">
        <w:rPr>
          <w:color w:val="auto"/>
          <w:sz w:val="18"/>
          <w:szCs w:val="18"/>
        </w:rPr>
        <w:t xml:space="preserve">Działanie pozwala na finansowanie projektów badawczych i badawczo-rozwojowych mających na celu rozwój nowych lub doskonalenie obecnie oferowanych i wykorzystywanych produktów/usług/technologii, przygotowanie do uzyskania i pozyskanie certyfikacji oraz uzyskanie ochrony praw własności intelektualnej. </w:t>
      </w:r>
    </w:p>
    <w:p w14:paraId="5EDAF29D" w14:textId="77777777" w:rsidR="009322CA" w:rsidRPr="00A75C75" w:rsidRDefault="009322CA" w:rsidP="009322CA">
      <w:pPr>
        <w:pStyle w:val="Default"/>
        <w:tabs>
          <w:tab w:val="left" w:pos="426"/>
        </w:tabs>
        <w:ind w:left="360"/>
        <w:jc w:val="both"/>
        <w:rPr>
          <w:color w:val="auto"/>
          <w:sz w:val="18"/>
          <w:szCs w:val="18"/>
        </w:rPr>
      </w:pPr>
      <w:r w:rsidRPr="00A75C75">
        <w:rPr>
          <w:color w:val="auto"/>
          <w:sz w:val="18"/>
          <w:szCs w:val="18"/>
        </w:rPr>
        <w:t xml:space="preserve">Beneficjent może zdecydować o zakupie usług badawczych, technologii i wiedzy, zarówno od naukowców/ podmiotów oferujących usługi badawczo-rozwojowe z regionu, jak i spoza regionu oraz z innych krajów UE. Wsparcie jest przeznaczone na finansowanie prac B+R, mogących obejmować prace realizowane przez pracowników firmy i/lub przez zewnętrzny podmiot oferujący usługi B+R/ naukowca, której udział jest obligatoryjny. </w:t>
      </w:r>
    </w:p>
    <w:p w14:paraId="109A5179" w14:textId="77777777" w:rsidR="009322CA" w:rsidRPr="00A75C75" w:rsidRDefault="009322CA" w:rsidP="009322CA">
      <w:pPr>
        <w:pStyle w:val="Default"/>
        <w:numPr>
          <w:ilvl w:val="0"/>
          <w:numId w:val="17"/>
        </w:numPr>
        <w:ind w:left="360"/>
        <w:jc w:val="both"/>
        <w:rPr>
          <w:color w:val="auto"/>
          <w:sz w:val="18"/>
          <w:szCs w:val="18"/>
        </w:rPr>
      </w:pPr>
      <w:r w:rsidRPr="00A75C75">
        <w:rPr>
          <w:b/>
          <w:bCs/>
          <w:color w:val="auto"/>
          <w:sz w:val="18"/>
          <w:szCs w:val="18"/>
        </w:rPr>
        <w:t xml:space="preserve">Schemat C: </w:t>
      </w:r>
      <w:r w:rsidRPr="00A75C75">
        <w:rPr>
          <w:b/>
          <w:bCs/>
          <w:i/>
          <w:iCs/>
          <w:color w:val="auto"/>
          <w:sz w:val="18"/>
          <w:szCs w:val="18"/>
        </w:rPr>
        <w:t>„</w:t>
      </w:r>
      <w:r w:rsidRPr="00A75C75">
        <w:rPr>
          <w:i/>
          <w:iCs/>
          <w:color w:val="auto"/>
          <w:sz w:val="18"/>
          <w:szCs w:val="18"/>
        </w:rPr>
        <w:t xml:space="preserve">Kontrakt B+R” </w:t>
      </w:r>
      <w:r w:rsidRPr="00A75C75">
        <w:rPr>
          <w:color w:val="auto"/>
          <w:sz w:val="18"/>
          <w:szCs w:val="18"/>
        </w:rPr>
        <w:t xml:space="preserve">– dofinansowanie dużych przedsięwzięć badawczo-rozwojowych do etapu pierwszej produkcji włącznie. </w:t>
      </w:r>
    </w:p>
    <w:p w14:paraId="0B3439AB" w14:textId="77777777" w:rsidR="009322CA" w:rsidRPr="00A75C75" w:rsidRDefault="009322CA" w:rsidP="009322CA">
      <w:pPr>
        <w:pStyle w:val="Default"/>
        <w:ind w:left="360"/>
        <w:jc w:val="both"/>
        <w:rPr>
          <w:color w:val="auto"/>
          <w:sz w:val="18"/>
          <w:szCs w:val="18"/>
        </w:rPr>
      </w:pPr>
      <w:r w:rsidRPr="00A75C75">
        <w:rPr>
          <w:color w:val="auto"/>
          <w:sz w:val="18"/>
          <w:szCs w:val="18"/>
        </w:rPr>
        <w:t xml:space="preserve">Działanie pozwala na finansowanie dużych projektów badawczo-rozwojowych (w tym opracowanie prototypów, demonstracje, opracowanie projektów pilotażowych, testowanie, walidację nowych lub ulepszonych produktów lub usług w otoczeniu stanowiącym model warunków rzeczywistego funkcjonowania, których głównym celem jest dalsze udoskonalanie techniczne produktów, procesów lub usług, a ostateczny kształt nie jest jeszcze określony),. Wsparcie nie obejmuje produkcji masowej ani działalności handlowej. Zakłada się, że dofinansowanie uzyskać będą mogły przedsięwzięcia obejmujące pierwszą produkcję poprzedzoną wcześniejszymi etapami (prace rozwojowe, faza demonstracji, walidacji)1 Projekty dotyczące wyłącznie pierwszej produkcji nie będą kwalifikowane. </w:t>
      </w:r>
    </w:p>
    <w:p w14:paraId="6D951D20" w14:textId="77777777" w:rsidR="009322CA" w:rsidRPr="00A75C75" w:rsidRDefault="009322CA" w:rsidP="009322CA">
      <w:pPr>
        <w:ind w:left="360"/>
        <w:jc w:val="both"/>
        <w:rPr>
          <w:rFonts w:ascii="Arial" w:hAnsi="Arial" w:cs="Arial"/>
          <w:sz w:val="18"/>
          <w:szCs w:val="18"/>
        </w:rPr>
      </w:pPr>
      <w:r w:rsidRPr="00A75C75">
        <w:rPr>
          <w:rFonts w:ascii="Arial" w:hAnsi="Arial" w:cs="Arial"/>
          <w:sz w:val="18"/>
          <w:szCs w:val="18"/>
        </w:rPr>
        <w:t>Beneficjenci dokonują zakupu usług badawczych, technologii i wiedzy od jednostek B+R lub podmiotów oferujących usługi naukowe i badawczo-rozwojowe. Opracowane rozwiązanie musi być unikalne i innowacyjne. Usługodawcy mogą pochodzić z regionu, jak i spoza regionu, w tym z innych krajów UE. Powyższy zakup usług jest obligatoryjny. Dodatkowo wsparcie może być przeznaczone na finansowanie prac B+R realizowanych przez pracowników firmy. W ramach części wdrożeniowej finansowane mogą być zakupy środków trwałych niezbędnych do wdrożenia wypracowanego rozwiązania oraz zakupy wyposażenia laboratoryjnego.</w:t>
      </w:r>
    </w:p>
    <w:p w14:paraId="0C8B43D2" w14:textId="77777777" w:rsidR="009322CA" w:rsidRPr="00A75C75" w:rsidRDefault="009322CA" w:rsidP="009322CA">
      <w:pPr>
        <w:tabs>
          <w:tab w:val="num" w:pos="567"/>
        </w:tabs>
        <w:suppressAutoHyphens/>
        <w:snapToGrid w:val="0"/>
        <w:spacing w:after="0" w:line="276" w:lineRule="auto"/>
        <w:jc w:val="both"/>
        <w:rPr>
          <w:rFonts w:ascii="Arial" w:hAnsi="Arial" w:cs="Arial"/>
          <w:b/>
          <w:sz w:val="18"/>
          <w:szCs w:val="18"/>
        </w:rPr>
      </w:pPr>
      <w:r w:rsidRPr="00A75C75">
        <w:rPr>
          <w:rFonts w:ascii="Arial" w:hAnsi="Arial" w:cs="Arial"/>
          <w:sz w:val="18"/>
          <w:szCs w:val="18"/>
        </w:rPr>
        <w:t>Wyłącznie w przypadku MŚP (nie dotyczy dużych przedsiębiorstw) obok prac badawczo-rozwojowych elementem projektu realizowanego w ramach poddziałania 1.2.2 może być wdrożenie wyników tych prac, przy czym komponent wdrożeniowy musi stanowić mniejszość całkowitych wydatków kwalifikowalnych projektu</w:t>
      </w:r>
    </w:p>
    <w:p w14:paraId="4DFE1608" w14:textId="77777777" w:rsidR="00656815" w:rsidRPr="00A75C75" w:rsidRDefault="00656815" w:rsidP="009322CA">
      <w:pPr>
        <w:autoSpaceDE w:val="0"/>
        <w:autoSpaceDN w:val="0"/>
        <w:adjustRightInd w:val="0"/>
        <w:spacing w:after="0" w:line="276" w:lineRule="auto"/>
        <w:rPr>
          <w:rFonts w:ascii="Arial" w:hAnsi="Arial" w:cs="Arial"/>
          <w:sz w:val="18"/>
          <w:szCs w:val="18"/>
        </w:rPr>
      </w:pPr>
    </w:p>
    <w:p w14:paraId="69036683" w14:textId="2CDEF7C5" w:rsidR="009322CA" w:rsidRPr="00A75C75" w:rsidRDefault="009322CA" w:rsidP="009322CA">
      <w:pPr>
        <w:autoSpaceDE w:val="0"/>
        <w:autoSpaceDN w:val="0"/>
        <w:adjustRightInd w:val="0"/>
        <w:spacing w:before="40" w:after="40" w:line="276" w:lineRule="auto"/>
        <w:jc w:val="both"/>
        <w:rPr>
          <w:rFonts w:ascii="Arial" w:eastAsia="Times New Roman" w:hAnsi="Arial" w:cs="Arial"/>
          <w:sz w:val="18"/>
          <w:szCs w:val="18"/>
          <w:lang w:eastAsia="pl-PL"/>
        </w:rPr>
      </w:pPr>
      <w:r w:rsidRPr="00A75C75">
        <w:rPr>
          <w:rFonts w:ascii="Arial" w:eastAsia="Times New Roman" w:hAnsi="Arial" w:cs="Arial"/>
          <w:sz w:val="18"/>
          <w:szCs w:val="18"/>
          <w:lang w:eastAsia="pl-PL"/>
        </w:rPr>
        <w:t>Projekty mogą być objęte pomocą publiczną i pomocą de minimis</w:t>
      </w:r>
    </w:p>
    <w:p w14:paraId="65361D26" w14:textId="77777777" w:rsidR="009322CA" w:rsidRPr="00A75C75" w:rsidRDefault="009322CA" w:rsidP="009322CA">
      <w:pPr>
        <w:suppressAutoHyphens/>
        <w:spacing w:after="0" w:line="276" w:lineRule="auto"/>
        <w:jc w:val="both"/>
        <w:rPr>
          <w:rFonts w:ascii="Arial" w:hAnsi="Arial" w:cs="Arial"/>
          <w:sz w:val="18"/>
          <w:szCs w:val="18"/>
        </w:rPr>
      </w:pPr>
      <w:r w:rsidRPr="00A75C75">
        <w:rPr>
          <w:rFonts w:ascii="Arial" w:hAnsi="Arial" w:cs="Arial"/>
          <w:sz w:val="18"/>
          <w:szCs w:val="18"/>
        </w:rPr>
        <w:t>Dla projektów podlegających zasadom udzielania pomocy publicznej maksymalny poziom dofinansowania jest zgodny z zasadami określonymi w następujących rozporządzeniach dotyczących pomocy publicznej:</w:t>
      </w:r>
    </w:p>
    <w:p w14:paraId="68091BFC" w14:textId="77777777" w:rsidR="009322CA" w:rsidRPr="00A75C75" w:rsidRDefault="009322CA" w:rsidP="009322CA">
      <w:pPr>
        <w:numPr>
          <w:ilvl w:val="0"/>
          <w:numId w:val="12"/>
        </w:numPr>
        <w:spacing w:after="0" w:line="276" w:lineRule="auto"/>
        <w:ind w:left="360"/>
        <w:jc w:val="both"/>
        <w:rPr>
          <w:rFonts w:ascii="Arial" w:hAnsi="Arial" w:cs="Arial"/>
          <w:bCs/>
          <w:sz w:val="18"/>
          <w:szCs w:val="18"/>
        </w:rPr>
      </w:pPr>
      <w:r w:rsidRPr="00A75C75">
        <w:rPr>
          <w:rFonts w:ascii="Arial" w:hAnsi="Arial" w:cs="Arial"/>
          <w:bCs/>
          <w:sz w:val="18"/>
          <w:szCs w:val="18"/>
        </w:rPr>
        <w:t>Rozporządzenie Komisji (UE) nr 651/2014 z dnia 17 czerwca 2014 uznające niektóre rodzaje pomocy za zgodne z rynkiem wewnętrznym w zastosowaniu art. 107 i 108 Traktatu [GBER],</w:t>
      </w:r>
    </w:p>
    <w:p w14:paraId="408382F1" w14:textId="49A5F627" w:rsidR="009322CA" w:rsidRPr="00A75C75" w:rsidRDefault="009322CA" w:rsidP="009322CA">
      <w:pPr>
        <w:numPr>
          <w:ilvl w:val="0"/>
          <w:numId w:val="12"/>
        </w:numPr>
        <w:spacing w:after="0" w:line="276" w:lineRule="auto"/>
        <w:ind w:left="360"/>
        <w:jc w:val="both"/>
        <w:rPr>
          <w:rFonts w:ascii="Arial" w:hAnsi="Arial" w:cs="Arial"/>
          <w:bCs/>
          <w:sz w:val="18"/>
          <w:szCs w:val="18"/>
        </w:rPr>
      </w:pPr>
      <w:r w:rsidRPr="00A75C75">
        <w:rPr>
          <w:rFonts w:ascii="Arial" w:hAnsi="Arial" w:cs="Arial"/>
          <w:sz w:val="18"/>
          <w:szCs w:val="18"/>
        </w:rPr>
        <w:t xml:space="preserve">Rozporządzenie Ministra Infrastruktury i Rozwoju z dnia 21 lipca 2015r.  w sprawie udzielania pomocy na </w:t>
      </w:r>
      <w:r w:rsidRPr="00A75C75">
        <w:rPr>
          <w:rFonts w:ascii="Arial" w:hAnsi="Arial" w:cs="Arial"/>
          <w:bCs/>
          <w:sz w:val="18"/>
          <w:szCs w:val="18"/>
        </w:rPr>
        <w:t>badania podstawowe, badania przemysłowe, eksperymentalne prace rozwojowe oraz studia wykonalności</w:t>
      </w:r>
      <w:r w:rsidRPr="00A75C75">
        <w:rPr>
          <w:rFonts w:ascii="Arial" w:hAnsi="Arial" w:cs="Arial"/>
          <w:sz w:val="18"/>
          <w:szCs w:val="18"/>
        </w:rPr>
        <w:t xml:space="preserve"> w ramach regionalnych programów operacyjnych na lata 2014-2020, przy czym maksymalny poziom dofinansowania projektu ze środków Regionalnego Programu Operacyjnego Województwa Warmińsko-Mazurskiego na lata 2014-2020 na podstawie wskazanego Rozporządzenia wynosi:</w:t>
      </w:r>
    </w:p>
    <w:tbl>
      <w:tblPr>
        <w:tblStyle w:val="Tabela-Siatka"/>
        <w:tblW w:w="0" w:type="auto"/>
        <w:tblInd w:w="360" w:type="dxa"/>
        <w:tblLook w:val="04A0" w:firstRow="1" w:lastRow="0" w:firstColumn="1" w:lastColumn="0" w:noHBand="0" w:noVBand="1"/>
      </w:tblPr>
      <w:tblGrid>
        <w:gridCol w:w="1986"/>
        <w:gridCol w:w="1818"/>
        <w:gridCol w:w="2010"/>
        <w:gridCol w:w="1830"/>
      </w:tblGrid>
      <w:tr w:rsidR="00A75C75" w:rsidRPr="00A75C75" w14:paraId="09298B5F" w14:textId="77777777" w:rsidTr="009322CA">
        <w:tc>
          <w:tcPr>
            <w:tcW w:w="1986" w:type="dxa"/>
          </w:tcPr>
          <w:p w14:paraId="10431CB6" w14:textId="77777777" w:rsidR="009322CA" w:rsidRPr="00A75C75" w:rsidRDefault="009322CA" w:rsidP="009322CA">
            <w:pPr>
              <w:spacing w:line="276" w:lineRule="auto"/>
              <w:jc w:val="both"/>
              <w:rPr>
                <w:rFonts w:ascii="Arial" w:hAnsi="Arial" w:cs="Arial"/>
                <w:bCs/>
                <w:sz w:val="18"/>
                <w:szCs w:val="18"/>
              </w:rPr>
            </w:pPr>
          </w:p>
        </w:tc>
        <w:tc>
          <w:tcPr>
            <w:tcW w:w="1818" w:type="dxa"/>
          </w:tcPr>
          <w:p w14:paraId="79B13EB1" w14:textId="77777777" w:rsidR="009322CA" w:rsidRPr="00A75C75" w:rsidRDefault="009322CA" w:rsidP="009322CA">
            <w:pPr>
              <w:spacing w:line="276" w:lineRule="auto"/>
              <w:jc w:val="both"/>
              <w:rPr>
                <w:rFonts w:ascii="Arial" w:hAnsi="Arial" w:cs="Arial"/>
                <w:bCs/>
                <w:sz w:val="18"/>
                <w:szCs w:val="18"/>
              </w:rPr>
            </w:pPr>
            <w:r w:rsidRPr="00A75C75">
              <w:rPr>
                <w:rFonts w:ascii="Arial" w:hAnsi="Arial" w:cs="Arial"/>
                <w:bCs/>
                <w:sz w:val="18"/>
                <w:szCs w:val="18"/>
              </w:rPr>
              <w:t>Badania przemysłowe</w:t>
            </w:r>
          </w:p>
        </w:tc>
        <w:tc>
          <w:tcPr>
            <w:tcW w:w="2010" w:type="dxa"/>
          </w:tcPr>
          <w:p w14:paraId="1FBEFE92" w14:textId="77777777" w:rsidR="009322CA" w:rsidRPr="00A75C75" w:rsidRDefault="009322CA" w:rsidP="009322CA">
            <w:pPr>
              <w:spacing w:line="276" w:lineRule="auto"/>
              <w:jc w:val="both"/>
              <w:rPr>
                <w:rFonts w:ascii="Arial" w:hAnsi="Arial" w:cs="Arial"/>
                <w:bCs/>
                <w:sz w:val="18"/>
                <w:szCs w:val="18"/>
              </w:rPr>
            </w:pPr>
            <w:r w:rsidRPr="00A75C75">
              <w:rPr>
                <w:rFonts w:ascii="Arial" w:hAnsi="Arial" w:cs="Arial"/>
                <w:bCs/>
                <w:sz w:val="18"/>
                <w:szCs w:val="18"/>
              </w:rPr>
              <w:t>Eksperymentalne prace rozwojowe</w:t>
            </w:r>
          </w:p>
        </w:tc>
        <w:tc>
          <w:tcPr>
            <w:tcW w:w="1830" w:type="dxa"/>
          </w:tcPr>
          <w:p w14:paraId="7D38DAA9" w14:textId="77777777" w:rsidR="009322CA" w:rsidRPr="00A75C75" w:rsidRDefault="009322CA" w:rsidP="009322CA">
            <w:pPr>
              <w:spacing w:line="276" w:lineRule="auto"/>
              <w:jc w:val="both"/>
              <w:rPr>
                <w:rFonts w:ascii="Arial" w:hAnsi="Arial" w:cs="Arial"/>
                <w:bCs/>
                <w:sz w:val="18"/>
                <w:szCs w:val="18"/>
              </w:rPr>
            </w:pPr>
            <w:r w:rsidRPr="00A75C75">
              <w:rPr>
                <w:rFonts w:ascii="Arial" w:hAnsi="Arial" w:cs="Arial"/>
                <w:bCs/>
                <w:sz w:val="18"/>
                <w:szCs w:val="18"/>
              </w:rPr>
              <w:t>Studium wykonalności</w:t>
            </w:r>
          </w:p>
        </w:tc>
      </w:tr>
      <w:tr w:rsidR="00A75C75" w:rsidRPr="00A75C75" w14:paraId="44A91F72" w14:textId="77777777" w:rsidTr="009322CA">
        <w:tc>
          <w:tcPr>
            <w:tcW w:w="1986" w:type="dxa"/>
          </w:tcPr>
          <w:p w14:paraId="19D4664C" w14:textId="77777777" w:rsidR="009322CA" w:rsidRPr="00A75C75" w:rsidRDefault="009322CA" w:rsidP="009322CA">
            <w:pPr>
              <w:spacing w:line="276" w:lineRule="auto"/>
              <w:jc w:val="both"/>
              <w:rPr>
                <w:rFonts w:ascii="Arial" w:hAnsi="Arial" w:cs="Arial"/>
                <w:bCs/>
                <w:sz w:val="18"/>
                <w:szCs w:val="18"/>
              </w:rPr>
            </w:pPr>
            <w:r w:rsidRPr="00A75C75">
              <w:rPr>
                <w:rFonts w:ascii="Arial" w:hAnsi="Arial" w:cs="Arial"/>
                <w:bCs/>
                <w:sz w:val="18"/>
                <w:szCs w:val="18"/>
              </w:rPr>
              <w:t>Małe przedsiębiorstwo</w:t>
            </w:r>
          </w:p>
        </w:tc>
        <w:tc>
          <w:tcPr>
            <w:tcW w:w="1818" w:type="dxa"/>
            <w:vAlign w:val="center"/>
          </w:tcPr>
          <w:p w14:paraId="04654096" w14:textId="77777777" w:rsidR="009322CA" w:rsidRPr="00A75C75" w:rsidRDefault="009322CA" w:rsidP="009322CA">
            <w:pPr>
              <w:spacing w:line="276" w:lineRule="auto"/>
              <w:jc w:val="center"/>
              <w:rPr>
                <w:rFonts w:ascii="Arial" w:hAnsi="Arial" w:cs="Arial"/>
                <w:bCs/>
                <w:sz w:val="18"/>
                <w:szCs w:val="18"/>
              </w:rPr>
            </w:pPr>
            <w:r w:rsidRPr="00A75C75">
              <w:rPr>
                <w:rFonts w:ascii="Arial" w:hAnsi="Arial" w:cs="Arial"/>
                <w:bCs/>
                <w:sz w:val="18"/>
                <w:szCs w:val="18"/>
              </w:rPr>
              <w:t>70%</w:t>
            </w:r>
          </w:p>
        </w:tc>
        <w:tc>
          <w:tcPr>
            <w:tcW w:w="2010" w:type="dxa"/>
            <w:vAlign w:val="center"/>
          </w:tcPr>
          <w:p w14:paraId="3B6B7F34" w14:textId="77777777" w:rsidR="009322CA" w:rsidRPr="00A75C75" w:rsidRDefault="009322CA" w:rsidP="009322CA">
            <w:pPr>
              <w:spacing w:line="276" w:lineRule="auto"/>
              <w:jc w:val="center"/>
              <w:rPr>
                <w:rFonts w:ascii="Arial" w:hAnsi="Arial" w:cs="Arial"/>
                <w:bCs/>
                <w:sz w:val="18"/>
                <w:szCs w:val="18"/>
              </w:rPr>
            </w:pPr>
            <w:r w:rsidRPr="00A75C75">
              <w:rPr>
                <w:rFonts w:ascii="Arial" w:hAnsi="Arial" w:cs="Arial"/>
                <w:bCs/>
                <w:sz w:val="18"/>
                <w:szCs w:val="18"/>
              </w:rPr>
              <w:t>45%</w:t>
            </w:r>
          </w:p>
        </w:tc>
        <w:tc>
          <w:tcPr>
            <w:tcW w:w="1830" w:type="dxa"/>
            <w:vAlign w:val="center"/>
          </w:tcPr>
          <w:p w14:paraId="25FBB706" w14:textId="77777777" w:rsidR="009322CA" w:rsidRPr="00A75C75" w:rsidRDefault="009322CA" w:rsidP="009322CA">
            <w:pPr>
              <w:spacing w:line="276" w:lineRule="auto"/>
              <w:jc w:val="center"/>
              <w:rPr>
                <w:rFonts w:ascii="Arial" w:hAnsi="Arial" w:cs="Arial"/>
                <w:bCs/>
                <w:sz w:val="18"/>
                <w:szCs w:val="18"/>
              </w:rPr>
            </w:pPr>
            <w:r w:rsidRPr="00A75C75">
              <w:rPr>
                <w:rFonts w:ascii="Arial" w:hAnsi="Arial" w:cs="Arial"/>
                <w:bCs/>
                <w:sz w:val="18"/>
                <w:szCs w:val="18"/>
              </w:rPr>
              <w:t>70%</w:t>
            </w:r>
          </w:p>
        </w:tc>
      </w:tr>
      <w:tr w:rsidR="00A75C75" w:rsidRPr="00A75C75" w14:paraId="04C51711" w14:textId="77777777" w:rsidTr="009322CA">
        <w:tc>
          <w:tcPr>
            <w:tcW w:w="1986" w:type="dxa"/>
          </w:tcPr>
          <w:p w14:paraId="27283015" w14:textId="77777777" w:rsidR="009322CA" w:rsidRPr="00A75C75" w:rsidRDefault="009322CA" w:rsidP="009322CA">
            <w:pPr>
              <w:spacing w:line="276" w:lineRule="auto"/>
              <w:jc w:val="both"/>
              <w:rPr>
                <w:rFonts w:ascii="Arial" w:hAnsi="Arial" w:cs="Arial"/>
                <w:bCs/>
                <w:sz w:val="18"/>
                <w:szCs w:val="18"/>
              </w:rPr>
            </w:pPr>
            <w:r w:rsidRPr="00A75C75">
              <w:rPr>
                <w:rFonts w:ascii="Arial" w:hAnsi="Arial" w:cs="Arial"/>
                <w:bCs/>
                <w:sz w:val="18"/>
                <w:szCs w:val="18"/>
              </w:rPr>
              <w:t>Średnie przedsiębiorstwo</w:t>
            </w:r>
          </w:p>
        </w:tc>
        <w:tc>
          <w:tcPr>
            <w:tcW w:w="1818" w:type="dxa"/>
            <w:vAlign w:val="center"/>
          </w:tcPr>
          <w:p w14:paraId="4BC95D09" w14:textId="77777777" w:rsidR="009322CA" w:rsidRPr="00A75C75" w:rsidRDefault="009322CA" w:rsidP="009322CA">
            <w:pPr>
              <w:spacing w:line="276" w:lineRule="auto"/>
              <w:jc w:val="center"/>
              <w:rPr>
                <w:rFonts w:ascii="Arial" w:hAnsi="Arial" w:cs="Arial"/>
                <w:bCs/>
                <w:sz w:val="18"/>
                <w:szCs w:val="18"/>
              </w:rPr>
            </w:pPr>
            <w:r w:rsidRPr="00A75C75">
              <w:rPr>
                <w:rFonts w:ascii="Arial" w:hAnsi="Arial" w:cs="Arial"/>
                <w:bCs/>
                <w:sz w:val="18"/>
                <w:szCs w:val="18"/>
              </w:rPr>
              <w:t>60%</w:t>
            </w:r>
          </w:p>
        </w:tc>
        <w:tc>
          <w:tcPr>
            <w:tcW w:w="2010" w:type="dxa"/>
            <w:vAlign w:val="center"/>
          </w:tcPr>
          <w:p w14:paraId="07030015" w14:textId="77777777" w:rsidR="009322CA" w:rsidRPr="00A75C75" w:rsidRDefault="009322CA" w:rsidP="009322CA">
            <w:pPr>
              <w:spacing w:line="276" w:lineRule="auto"/>
              <w:jc w:val="center"/>
              <w:rPr>
                <w:rFonts w:ascii="Arial" w:hAnsi="Arial" w:cs="Arial"/>
                <w:bCs/>
                <w:sz w:val="18"/>
                <w:szCs w:val="18"/>
              </w:rPr>
            </w:pPr>
            <w:r w:rsidRPr="00A75C75">
              <w:rPr>
                <w:rFonts w:ascii="Arial" w:hAnsi="Arial" w:cs="Arial"/>
                <w:bCs/>
                <w:sz w:val="18"/>
                <w:szCs w:val="18"/>
              </w:rPr>
              <w:t>35%</w:t>
            </w:r>
          </w:p>
        </w:tc>
        <w:tc>
          <w:tcPr>
            <w:tcW w:w="1830" w:type="dxa"/>
            <w:vAlign w:val="center"/>
          </w:tcPr>
          <w:p w14:paraId="1926E8FE" w14:textId="77777777" w:rsidR="009322CA" w:rsidRPr="00A75C75" w:rsidRDefault="009322CA" w:rsidP="009322CA">
            <w:pPr>
              <w:spacing w:line="276" w:lineRule="auto"/>
              <w:jc w:val="center"/>
              <w:rPr>
                <w:rFonts w:ascii="Arial" w:hAnsi="Arial" w:cs="Arial"/>
                <w:bCs/>
                <w:sz w:val="18"/>
                <w:szCs w:val="18"/>
              </w:rPr>
            </w:pPr>
            <w:r w:rsidRPr="00A75C75">
              <w:rPr>
                <w:rFonts w:ascii="Arial" w:hAnsi="Arial" w:cs="Arial"/>
                <w:bCs/>
                <w:sz w:val="18"/>
                <w:szCs w:val="18"/>
              </w:rPr>
              <w:t>60%</w:t>
            </w:r>
          </w:p>
        </w:tc>
      </w:tr>
      <w:tr w:rsidR="00A75C75" w:rsidRPr="00A75C75" w14:paraId="6D3A4CA0" w14:textId="77777777" w:rsidTr="009322CA">
        <w:tc>
          <w:tcPr>
            <w:tcW w:w="1986" w:type="dxa"/>
          </w:tcPr>
          <w:p w14:paraId="1812A2E5" w14:textId="77777777" w:rsidR="009322CA" w:rsidRPr="00A75C75" w:rsidRDefault="009322CA" w:rsidP="009322CA">
            <w:pPr>
              <w:spacing w:line="276" w:lineRule="auto"/>
              <w:jc w:val="both"/>
              <w:rPr>
                <w:rFonts w:ascii="Arial" w:hAnsi="Arial" w:cs="Arial"/>
                <w:bCs/>
                <w:sz w:val="18"/>
                <w:szCs w:val="18"/>
              </w:rPr>
            </w:pPr>
            <w:r w:rsidRPr="00A75C75">
              <w:rPr>
                <w:rFonts w:ascii="Arial" w:hAnsi="Arial" w:cs="Arial"/>
                <w:bCs/>
                <w:sz w:val="18"/>
                <w:szCs w:val="18"/>
              </w:rPr>
              <w:t>Duże przedsiębiorstwo</w:t>
            </w:r>
          </w:p>
        </w:tc>
        <w:tc>
          <w:tcPr>
            <w:tcW w:w="1818" w:type="dxa"/>
            <w:vAlign w:val="center"/>
          </w:tcPr>
          <w:p w14:paraId="1DFFFC1E" w14:textId="77777777" w:rsidR="009322CA" w:rsidRPr="00A75C75" w:rsidRDefault="009322CA" w:rsidP="009322CA">
            <w:pPr>
              <w:spacing w:line="276" w:lineRule="auto"/>
              <w:jc w:val="center"/>
              <w:rPr>
                <w:rFonts w:ascii="Arial" w:hAnsi="Arial" w:cs="Arial"/>
                <w:bCs/>
                <w:sz w:val="18"/>
                <w:szCs w:val="18"/>
              </w:rPr>
            </w:pPr>
            <w:r w:rsidRPr="00A75C75">
              <w:rPr>
                <w:rFonts w:ascii="Arial" w:hAnsi="Arial" w:cs="Arial"/>
                <w:bCs/>
                <w:sz w:val="18"/>
                <w:szCs w:val="18"/>
              </w:rPr>
              <w:t>50%</w:t>
            </w:r>
          </w:p>
        </w:tc>
        <w:tc>
          <w:tcPr>
            <w:tcW w:w="2010" w:type="dxa"/>
            <w:vAlign w:val="center"/>
          </w:tcPr>
          <w:p w14:paraId="0077C4F9" w14:textId="77777777" w:rsidR="009322CA" w:rsidRPr="00A75C75" w:rsidRDefault="009322CA" w:rsidP="009322CA">
            <w:pPr>
              <w:spacing w:line="276" w:lineRule="auto"/>
              <w:jc w:val="center"/>
              <w:rPr>
                <w:rFonts w:ascii="Arial" w:hAnsi="Arial" w:cs="Arial"/>
                <w:bCs/>
                <w:sz w:val="18"/>
                <w:szCs w:val="18"/>
              </w:rPr>
            </w:pPr>
            <w:r w:rsidRPr="00A75C75">
              <w:rPr>
                <w:rFonts w:ascii="Arial" w:hAnsi="Arial" w:cs="Arial"/>
                <w:bCs/>
                <w:sz w:val="18"/>
                <w:szCs w:val="18"/>
              </w:rPr>
              <w:t>25%</w:t>
            </w:r>
          </w:p>
        </w:tc>
        <w:tc>
          <w:tcPr>
            <w:tcW w:w="1830" w:type="dxa"/>
            <w:vAlign w:val="center"/>
          </w:tcPr>
          <w:p w14:paraId="0DCC2F2B" w14:textId="77777777" w:rsidR="009322CA" w:rsidRPr="00A75C75" w:rsidRDefault="009322CA" w:rsidP="009322CA">
            <w:pPr>
              <w:spacing w:line="276" w:lineRule="auto"/>
              <w:jc w:val="center"/>
              <w:rPr>
                <w:rFonts w:ascii="Arial" w:hAnsi="Arial" w:cs="Arial"/>
                <w:bCs/>
                <w:sz w:val="18"/>
                <w:szCs w:val="18"/>
              </w:rPr>
            </w:pPr>
            <w:r w:rsidRPr="00A75C75">
              <w:rPr>
                <w:rFonts w:ascii="Arial" w:hAnsi="Arial" w:cs="Arial"/>
                <w:bCs/>
                <w:sz w:val="18"/>
                <w:szCs w:val="18"/>
              </w:rPr>
              <w:t>50%</w:t>
            </w:r>
          </w:p>
        </w:tc>
      </w:tr>
    </w:tbl>
    <w:p w14:paraId="709A90D1" w14:textId="77777777" w:rsidR="009322CA" w:rsidRPr="00A75C75" w:rsidRDefault="009322CA" w:rsidP="009322CA">
      <w:pPr>
        <w:spacing w:line="276" w:lineRule="auto"/>
        <w:ind w:left="360"/>
        <w:jc w:val="both"/>
        <w:rPr>
          <w:rFonts w:ascii="Arial" w:hAnsi="Arial" w:cs="Arial"/>
          <w:bCs/>
          <w:sz w:val="18"/>
          <w:szCs w:val="18"/>
        </w:rPr>
      </w:pPr>
    </w:p>
    <w:p w14:paraId="74B29FBA" w14:textId="1B440D7F" w:rsidR="009322CA" w:rsidRPr="00A75C75" w:rsidRDefault="009322CA" w:rsidP="009322CA">
      <w:pPr>
        <w:numPr>
          <w:ilvl w:val="0"/>
          <w:numId w:val="12"/>
        </w:numPr>
        <w:spacing w:after="0" w:line="276" w:lineRule="auto"/>
        <w:ind w:left="360"/>
        <w:jc w:val="both"/>
        <w:rPr>
          <w:rFonts w:ascii="Arial" w:hAnsi="Arial" w:cs="Arial"/>
          <w:bCs/>
          <w:sz w:val="18"/>
          <w:szCs w:val="18"/>
        </w:rPr>
      </w:pPr>
      <w:bookmarkStart w:id="1" w:name="_Toc490226242"/>
      <w:bookmarkStart w:id="2" w:name="_Toc491777732"/>
      <w:bookmarkStart w:id="3" w:name="_Toc491777810"/>
      <w:r w:rsidRPr="00A75C75">
        <w:rPr>
          <w:rFonts w:ascii="Arial" w:hAnsi="Arial" w:cs="Arial"/>
          <w:sz w:val="18"/>
          <w:szCs w:val="18"/>
        </w:rPr>
        <w:t>Rozporządzenie Ministra Infrastruktury i Rozwoju z dnia 3 września 2015 r. w sprawie udzielania regionalnej pomocy inwestycyjnej w ramach regionalnych programów operacyjnych na lata 2014-2020</w:t>
      </w:r>
      <w:bookmarkEnd w:id="1"/>
      <w:bookmarkEnd w:id="2"/>
      <w:bookmarkEnd w:id="3"/>
      <w:r w:rsidRPr="00A75C75">
        <w:rPr>
          <w:rFonts w:ascii="Arial" w:hAnsi="Arial" w:cs="Arial"/>
          <w:sz w:val="18"/>
          <w:szCs w:val="18"/>
        </w:rPr>
        <w:t xml:space="preserve"> – maksymalny poziom dofinansowania projektu ze środków Regionalnego Programu Operacyjnego Województwa Warmińsko-Mazurskiego na lata 2014-2020 wynosi: 50% wydatków kwalifikowanych na poziomie projektu w przypadku przedsiębiorstw dużych, 60% w przypadku przedsiębiorstw średnich, 70% w przypadku przedsiębiorstw małych (zgodnie z definicją MŚP),</w:t>
      </w:r>
    </w:p>
    <w:p w14:paraId="03A6A1E1" w14:textId="77777777" w:rsidR="009322CA" w:rsidRPr="00A75C75" w:rsidRDefault="009322CA" w:rsidP="009322CA">
      <w:pPr>
        <w:numPr>
          <w:ilvl w:val="0"/>
          <w:numId w:val="12"/>
        </w:numPr>
        <w:spacing w:after="0" w:line="276" w:lineRule="auto"/>
        <w:ind w:left="360"/>
        <w:jc w:val="both"/>
        <w:rPr>
          <w:rFonts w:ascii="Arial" w:hAnsi="Arial" w:cs="Arial"/>
          <w:bCs/>
          <w:sz w:val="18"/>
          <w:szCs w:val="18"/>
        </w:rPr>
      </w:pPr>
      <w:r w:rsidRPr="00A75C75">
        <w:rPr>
          <w:rFonts w:ascii="Arial" w:hAnsi="Arial" w:cs="Arial"/>
          <w:sz w:val="18"/>
          <w:szCs w:val="18"/>
        </w:rPr>
        <w:t>Rozporządzenie Ministra Infrastruktury i Rozwoju z dnia 5 listopada 2015 r. w sprawie udzielania pomocy na wspieranie innowacyjności oraz innowacje procesowe i organizacyjne w ramach regionalnych programów operacyjnych na lata 2014-2020, przy czym maksymalny poziom dofinansowania projektu ze środków Regionalnego Programu Operacyjnego Województwa Warmińsko-Mazurskiego na lata 2014-2020 na podstawie wskazanego Rozporządzenia wynosi:</w:t>
      </w:r>
    </w:p>
    <w:p w14:paraId="2A9CD93B" w14:textId="77777777" w:rsidR="009322CA" w:rsidRPr="00A75C75" w:rsidRDefault="009322CA" w:rsidP="009322CA">
      <w:pPr>
        <w:pStyle w:val="Akapitzlist"/>
        <w:numPr>
          <w:ilvl w:val="0"/>
          <w:numId w:val="15"/>
        </w:numPr>
        <w:spacing w:after="0" w:line="276" w:lineRule="auto"/>
        <w:ind w:left="1425"/>
        <w:jc w:val="both"/>
        <w:rPr>
          <w:rFonts w:ascii="Arial" w:hAnsi="Arial" w:cs="Arial"/>
          <w:bCs/>
          <w:sz w:val="18"/>
          <w:szCs w:val="18"/>
        </w:rPr>
      </w:pPr>
      <w:r w:rsidRPr="00A75C75">
        <w:rPr>
          <w:rFonts w:ascii="Arial" w:hAnsi="Arial" w:cs="Arial"/>
          <w:sz w:val="18"/>
          <w:szCs w:val="18"/>
        </w:rPr>
        <w:t>Pomoc dla MSP na wspieranie innowacyjności (w tym uzyskanie praw wyłącznych) 50% wydatków kwalifikowanych na poziomie projektu,</w:t>
      </w:r>
    </w:p>
    <w:p w14:paraId="5E467184" w14:textId="77777777" w:rsidR="009322CA" w:rsidRPr="00A75C75" w:rsidRDefault="009322CA" w:rsidP="009322CA">
      <w:pPr>
        <w:pStyle w:val="Akapitzlist"/>
        <w:numPr>
          <w:ilvl w:val="0"/>
          <w:numId w:val="15"/>
        </w:numPr>
        <w:spacing w:after="0" w:line="276" w:lineRule="auto"/>
        <w:ind w:left="1425"/>
        <w:jc w:val="both"/>
        <w:rPr>
          <w:rFonts w:ascii="Arial" w:hAnsi="Arial" w:cs="Arial"/>
          <w:bCs/>
          <w:sz w:val="18"/>
          <w:szCs w:val="18"/>
        </w:rPr>
      </w:pPr>
      <w:r w:rsidRPr="00A75C75">
        <w:rPr>
          <w:rFonts w:ascii="Arial" w:hAnsi="Arial" w:cs="Arial"/>
          <w:sz w:val="18"/>
          <w:szCs w:val="18"/>
        </w:rPr>
        <w:t>Pomoc na innowacje procesowe i organizacyjne: 15% kosztów kwalifikowanych w przypadku dużych przedsiębiorstw, 50% kosztów kwalifikowanych w przypadku MSP.</w:t>
      </w:r>
    </w:p>
    <w:p w14:paraId="1CC67DC2" w14:textId="77777777" w:rsidR="009322CA" w:rsidRPr="00A75C75" w:rsidRDefault="009322CA" w:rsidP="009322CA">
      <w:pPr>
        <w:pStyle w:val="Teksttreci0"/>
        <w:shd w:val="clear" w:color="auto" w:fill="auto"/>
        <w:tabs>
          <w:tab w:val="left" w:pos="308"/>
        </w:tabs>
        <w:spacing w:before="0" w:line="276" w:lineRule="auto"/>
        <w:ind w:right="20" w:firstLine="0"/>
        <w:jc w:val="both"/>
      </w:pPr>
    </w:p>
    <w:p w14:paraId="4F7DC0ED" w14:textId="77777777" w:rsidR="009322CA" w:rsidRPr="00A75C75" w:rsidRDefault="009322CA" w:rsidP="009322CA">
      <w:pPr>
        <w:pStyle w:val="Teksttreci0"/>
        <w:shd w:val="clear" w:color="auto" w:fill="auto"/>
        <w:tabs>
          <w:tab w:val="left" w:pos="308"/>
        </w:tabs>
        <w:spacing w:before="0" w:line="276" w:lineRule="auto"/>
        <w:ind w:right="20" w:firstLine="0"/>
        <w:jc w:val="both"/>
      </w:pPr>
      <w:r w:rsidRPr="00A75C75">
        <w:t>Projekty, w których występuje pomoc de minimis, muszą być zgodne z właściwymi przepisami prawa</w:t>
      </w:r>
      <w:r w:rsidRPr="00A75C75">
        <w:br/>
        <w:t>wspólnotowego i krajowego dotyczącymi zasad udzielania tej pomocy, obowiązującymi w momencie</w:t>
      </w:r>
      <w:r w:rsidRPr="00A75C75">
        <w:br/>
        <w:t>udzielania wsparcia, w tym w szczególności z następującymi rozporządzeniami:</w:t>
      </w:r>
    </w:p>
    <w:p w14:paraId="265F141F" w14:textId="77777777" w:rsidR="009322CA" w:rsidRPr="00A75C75" w:rsidRDefault="009322CA" w:rsidP="009322CA">
      <w:pPr>
        <w:pStyle w:val="Akapitzlist"/>
        <w:numPr>
          <w:ilvl w:val="0"/>
          <w:numId w:val="14"/>
        </w:numPr>
        <w:suppressAutoHyphens/>
        <w:spacing w:after="0" w:line="276" w:lineRule="auto"/>
        <w:ind w:left="360"/>
        <w:jc w:val="both"/>
        <w:rPr>
          <w:rFonts w:ascii="Arial" w:hAnsi="Arial" w:cs="Arial"/>
          <w:sz w:val="18"/>
          <w:szCs w:val="18"/>
        </w:rPr>
      </w:pPr>
      <w:r w:rsidRPr="00A75C75">
        <w:rPr>
          <w:rFonts w:ascii="Arial" w:hAnsi="Arial" w:cs="Arial"/>
          <w:sz w:val="18"/>
          <w:szCs w:val="18"/>
        </w:rPr>
        <w:t>Rozporządzenie Komisji (UE) nr 1407/2013 z dnia 18 grudnia 2013 r. w sprawie stosowania art. 107 i 108 Traktatu o funkcjonowaniu Unii Europejskiej do pomocy de minimis,</w:t>
      </w:r>
    </w:p>
    <w:p w14:paraId="2893C2CE" w14:textId="77777777" w:rsidR="009322CA" w:rsidRPr="00A75C75" w:rsidRDefault="009322CA" w:rsidP="009322CA">
      <w:pPr>
        <w:pStyle w:val="Akapitzlist"/>
        <w:numPr>
          <w:ilvl w:val="0"/>
          <w:numId w:val="13"/>
        </w:numPr>
        <w:suppressAutoHyphens/>
        <w:spacing w:after="0" w:line="276" w:lineRule="auto"/>
        <w:ind w:left="1418" w:hanging="426"/>
        <w:jc w:val="both"/>
        <w:rPr>
          <w:rFonts w:ascii="Arial" w:hAnsi="Arial" w:cs="Arial"/>
          <w:bCs/>
          <w:sz w:val="18"/>
          <w:szCs w:val="18"/>
        </w:rPr>
      </w:pPr>
      <w:r w:rsidRPr="00A75C75">
        <w:rPr>
          <w:rFonts w:ascii="Arial" w:hAnsi="Arial" w:cs="Arial"/>
          <w:sz w:val="18"/>
          <w:szCs w:val="18"/>
        </w:rPr>
        <w:t xml:space="preserve">Rozporządzenie Ministra Infrastruktury i Rozwoju z dnia 19 marca 2015 r. w sprawie udzielania </w:t>
      </w:r>
      <w:r w:rsidRPr="00A75C75">
        <w:rPr>
          <w:rFonts w:ascii="Arial" w:hAnsi="Arial" w:cs="Arial"/>
          <w:bCs/>
          <w:sz w:val="18"/>
          <w:szCs w:val="18"/>
        </w:rPr>
        <w:t xml:space="preserve">pomocy de minimis w ramach regionalnych programów operacyjnych na lata 2014-2020. - </w:t>
      </w:r>
      <w:r w:rsidRPr="00A75C75">
        <w:rPr>
          <w:rFonts w:ascii="Arial" w:hAnsi="Arial" w:cs="Arial"/>
          <w:sz w:val="18"/>
          <w:szCs w:val="18"/>
        </w:rPr>
        <w:t>maksymalny poziom dofinansowania projektu ze środków Regionalnego Programu Operacyjnego Województwa Warmińsko-Mazurskiego na lata 2014-2020 na podstawie wskazanego Rozporządzenia wynosi 85% wydatków kwalifikowanych na poziomie projektu.</w:t>
      </w:r>
    </w:p>
    <w:p w14:paraId="512DBD08" w14:textId="77777777" w:rsidR="009820DC" w:rsidRPr="00A75C75" w:rsidRDefault="005438EB" w:rsidP="00066113">
      <w:pPr>
        <w:pStyle w:val="Default"/>
        <w:spacing w:before="240"/>
        <w:jc w:val="both"/>
        <w:rPr>
          <w:color w:val="auto"/>
          <w:sz w:val="18"/>
          <w:szCs w:val="18"/>
        </w:rPr>
      </w:pPr>
      <w:r w:rsidRPr="00A75C75">
        <w:rPr>
          <w:color w:val="auto"/>
          <w:sz w:val="18"/>
          <w:szCs w:val="18"/>
        </w:rPr>
        <w:t>Kryteria wyboru projektów wskazane są w dokumencie: Szczegółowy opis o</w:t>
      </w:r>
      <w:r w:rsidR="00066113" w:rsidRPr="00A75C75">
        <w:rPr>
          <w:color w:val="auto"/>
          <w:sz w:val="18"/>
          <w:szCs w:val="18"/>
        </w:rPr>
        <w:t xml:space="preserve">si priorytetowej 1 Inteligentna </w:t>
      </w:r>
      <w:r w:rsidRPr="00A75C75">
        <w:rPr>
          <w:color w:val="auto"/>
          <w:sz w:val="18"/>
          <w:szCs w:val="18"/>
        </w:rPr>
        <w:t xml:space="preserve">Gospodarka Warmii i Mazur Regionalnego Programu Operacyjnego Województwa Warmińsko- Mazurskiego na lata 2014- 2020. </w:t>
      </w:r>
    </w:p>
    <w:p w14:paraId="05558EE0" w14:textId="32F9C233" w:rsidR="00F60FF9" w:rsidRPr="00A75C75" w:rsidRDefault="005438EB" w:rsidP="0048068B">
      <w:pPr>
        <w:pStyle w:val="Default"/>
        <w:spacing w:before="240"/>
        <w:rPr>
          <w:color w:val="auto"/>
          <w:sz w:val="18"/>
          <w:szCs w:val="18"/>
        </w:rPr>
      </w:pPr>
      <w:r w:rsidRPr="00A75C75">
        <w:rPr>
          <w:b/>
          <w:bCs/>
          <w:color w:val="auto"/>
          <w:sz w:val="18"/>
          <w:szCs w:val="18"/>
        </w:rPr>
        <w:t xml:space="preserve">Termin, miejsce i forma składania wniosków o dofinansowanie: </w:t>
      </w:r>
    </w:p>
    <w:p w14:paraId="69489EAC" w14:textId="036CD079" w:rsidR="00887C6C" w:rsidRPr="00A75C75" w:rsidRDefault="00887C6C" w:rsidP="00771B1D">
      <w:pPr>
        <w:spacing w:after="0" w:line="276" w:lineRule="auto"/>
        <w:jc w:val="both"/>
        <w:rPr>
          <w:rFonts w:ascii="Arial" w:hAnsi="Arial" w:cs="Arial"/>
          <w:sz w:val="18"/>
          <w:szCs w:val="18"/>
          <w:highlight w:val="yellow"/>
        </w:rPr>
      </w:pPr>
      <w:r w:rsidRPr="00A75C75">
        <w:rPr>
          <w:rFonts w:ascii="Arial" w:hAnsi="Arial" w:cs="Arial"/>
          <w:sz w:val="18"/>
          <w:szCs w:val="18"/>
        </w:rPr>
        <w:t xml:space="preserve">Wniosek o dofinansowanie projektu wraz z załącznikami należy złożyć osobiście, listem poleconym, za pośrednictwem posłańca lub kuriera </w:t>
      </w:r>
      <w:r w:rsidRPr="00A75C75">
        <w:rPr>
          <w:rFonts w:ascii="Arial" w:eastAsia="Times New Roman" w:hAnsi="Arial" w:cs="Arial"/>
          <w:sz w:val="18"/>
          <w:szCs w:val="18"/>
        </w:rPr>
        <w:t xml:space="preserve">w Sekretariacie Warmińsko – Mazurskiej Agencji Rozwoju Regionalnego S.A. w Olsztynie, Plac Gen. Józefa Bema 3, 10-516 Olsztyn </w:t>
      </w:r>
      <w:r w:rsidR="00771B1D" w:rsidRPr="00A75C75">
        <w:rPr>
          <w:rFonts w:ascii="Arial" w:eastAsia="Times New Roman" w:hAnsi="Arial" w:cs="Arial"/>
          <w:sz w:val="18"/>
          <w:szCs w:val="18"/>
        </w:rPr>
        <w:t xml:space="preserve">(piętro pierwsze, pokój nr 114) </w:t>
      </w:r>
      <w:r w:rsidRPr="00A75C75">
        <w:rPr>
          <w:rFonts w:ascii="Arial" w:hAnsi="Arial" w:cs="Arial"/>
          <w:sz w:val="18"/>
          <w:szCs w:val="18"/>
        </w:rPr>
        <w:t>w</w:t>
      </w:r>
      <w:r w:rsidRPr="00A75C75">
        <w:rPr>
          <w:rFonts w:ascii="Arial" w:eastAsia="Times New Roman" w:hAnsi="Arial" w:cs="Arial"/>
          <w:sz w:val="18"/>
          <w:szCs w:val="18"/>
        </w:rPr>
        <w:t> godzinach 7:30 – 15:30 (tj.</w:t>
      </w:r>
      <w:r w:rsidRPr="00A75C75">
        <w:rPr>
          <w:rFonts w:ascii="Arial" w:hAnsi="Arial" w:cs="Arial"/>
          <w:sz w:val="18"/>
          <w:szCs w:val="18"/>
        </w:rPr>
        <w:t xml:space="preserve"> w godzinach pracy Sekretariatu).</w:t>
      </w:r>
    </w:p>
    <w:p w14:paraId="21FC298B" w14:textId="37E4C0C7" w:rsidR="00887C6C" w:rsidRPr="00A75C75" w:rsidRDefault="00887C6C" w:rsidP="00887C6C">
      <w:pPr>
        <w:spacing w:after="0" w:line="276" w:lineRule="auto"/>
        <w:jc w:val="both"/>
        <w:rPr>
          <w:rFonts w:ascii="Arial" w:hAnsi="Arial" w:cs="Arial"/>
          <w:sz w:val="18"/>
          <w:szCs w:val="18"/>
        </w:rPr>
      </w:pPr>
      <w:r w:rsidRPr="00A75C75">
        <w:rPr>
          <w:rFonts w:ascii="Arial" w:hAnsi="Arial" w:cs="Arial"/>
          <w:sz w:val="18"/>
          <w:szCs w:val="18"/>
        </w:rPr>
        <w:t xml:space="preserve">Termin na dostarczenie wniosku uznaje się za zachowany, jeżeli wniosek wpłynął w wyznaczonym terminie do </w:t>
      </w:r>
      <w:r w:rsidRPr="00A75C75">
        <w:rPr>
          <w:rFonts w:ascii="Arial" w:eastAsia="Times New Roman" w:hAnsi="Arial" w:cs="Arial"/>
          <w:sz w:val="18"/>
          <w:szCs w:val="18"/>
        </w:rPr>
        <w:t>Sekretariatu WMARR S.A. w Olsztynie</w:t>
      </w:r>
      <w:r w:rsidRPr="00A75C75">
        <w:rPr>
          <w:rFonts w:ascii="Arial" w:hAnsi="Arial" w:cs="Arial"/>
          <w:sz w:val="18"/>
          <w:szCs w:val="18"/>
        </w:rPr>
        <w:t xml:space="preserve"> (we wskazanych w ogłoszeniu godzinach) lub został nadany w polskiej placówce pocztowej operatora wyznaczonego w rozumieniu ustawy z dnia 23 listopada 2012 r. – Prawo pocztowe (Poczta Polska S.A) nie później niż w dniu zakończenia naboru projektów określonym w Regulaminie (…) – decyduje data nadania. </w:t>
      </w:r>
    </w:p>
    <w:p w14:paraId="61D2730A" w14:textId="54B7178A" w:rsidR="00887C6C" w:rsidRPr="00A75C75" w:rsidRDefault="00887C6C" w:rsidP="00887C6C">
      <w:pPr>
        <w:autoSpaceDE w:val="0"/>
        <w:autoSpaceDN w:val="0"/>
        <w:adjustRightInd w:val="0"/>
        <w:spacing w:after="0" w:line="240" w:lineRule="auto"/>
        <w:jc w:val="both"/>
        <w:rPr>
          <w:rFonts w:ascii="Arial" w:hAnsi="Arial" w:cs="Arial"/>
          <w:sz w:val="18"/>
          <w:szCs w:val="18"/>
        </w:rPr>
      </w:pPr>
      <w:r w:rsidRPr="00A75C75">
        <w:rPr>
          <w:rFonts w:ascii="Arial" w:hAnsi="Arial" w:cs="Arial"/>
          <w:sz w:val="18"/>
          <w:szCs w:val="18"/>
        </w:rPr>
        <w:t xml:space="preserve">Wnioskodawca ponosi ryzyko przesłania za pośrednictwem kuriera/operatora pocztowego/złożenia osobiście/posłańca wniosku w terminie i na właściwy adres określony w ogłoszeniu konkursu. </w:t>
      </w:r>
    </w:p>
    <w:p w14:paraId="1C697ADD" w14:textId="77777777" w:rsidR="00887D16" w:rsidRPr="00A75C75" w:rsidRDefault="00F60FF9" w:rsidP="00887D16">
      <w:pPr>
        <w:pStyle w:val="Default"/>
        <w:jc w:val="both"/>
        <w:rPr>
          <w:color w:val="auto"/>
          <w:sz w:val="18"/>
          <w:szCs w:val="18"/>
        </w:rPr>
      </w:pPr>
      <w:r w:rsidRPr="00A75C75">
        <w:rPr>
          <w:color w:val="auto"/>
          <w:sz w:val="18"/>
          <w:szCs w:val="18"/>
        </w:rPr>
        <w:t xml:space="preserve">Wniosek o dofinansowanie projektu wraz z załącznikami należy złożyć w formie papierowej w dwóch egzemplarzach (dwa oryginały lub oryginał i kopia) oraz w wersji elektronicznej (na płycie CD/innym nośniku elektronicznym). </w:t>
      </w:r>
      <w:r w:rsidR="005438EB" w:rsidRPr="00A75C75">
        <w:rPr>
          <w:color w:val="auto"/>
          <w:sz w:val="18"/>
          <w:szCs w:val="18"/>
        </w:rPr>
        <w:t xml:space="preserve">Ponadto, wypełniony wniosek w wersji elektronicznej należy przesłać za pomocą systemu informatycznego LSI MAKS 2, dostępnego na stronie internetowej www.rpo.warmia.mazury.pl, używając funkcji: „wyślij wniosek” (odnośnik: </w:t>
      </w:r>
      <w:proofErr w:type="spellStart"/>
      <w:r w:rsidR="005438EB" w:rsidRPr="00A75C75">
        <w:rPr>
          <w:color w:val="auto"/>
          <w:sz w:val="18"/>
          <w:szCs w:val="18"/>
        </w:rPr>
        <w:t>maks</w:t>
      </w:r>
      <w:proofErr w:type="spellEnd"/>
      <w:r w:rsidR="005438EB" w:rsidRPr="00A75C75">
        <w:rPr>
          <w:color w:val="auto"/>
          <w:sz w:val="18"/>
          <w:szCs w:val="18"/>
        </w:rPr>
        <w:t xml:space="preserve"> 2, Lokalny System Informatyczny). </w:t>
      </w:r>
      <w:r w:rsidR="00887D16" w:rsidRPr="00A75C75">
        <w:rPr>
          <w:color w:val="auto"/>
          <w:sz w:val="18"/>
          <w:szCs w:val="18"/>
        </w:rPr>
        <w:t>Wniosek o dofinansowanie projektu w systemie LSI MAKS2 należy wysłać najpóźniej w terminie zamknięcia naboru, z zastrzeżeniem, że wersja elektroniczna wniosku w LSI MAKS2 w dniu zamknięcia naboru musi być wysłana do godziny 15.30</w:t>
      </w:r>
    </w:p>
    <w:p w14:paraId="08C35A78" w14:textId="084DE738" w:rsidR="005438EB" w:rsidRPr="00A75C75" w:rsidRDefault="005438EB" w:rsidP="00C06A14">
      <w:pPr>
        <w:pStyle w:val="Default"/>
        <w:jc w:val="both"/>
        <w:rPr>
          <w:color w:val="auto"/>
          <w:sz w:val="18"/>
          <w:szCs w:val="18"/>
        </w:rPr>
      </w:pPr>
    </w:p>
    <w:p w14:paraId="7E3304ED" w14:textId="77777777" w:rsidR="00887D16" w:rsidRPr="00A75C75" w:rsidRDefault="00887D16" w:rsidP="00887D16">
      <w:pPr>
        <w:pStyle w:val="Default"/>
        <w:spacing w:before="240"/>
        <w:jc w:val="center"/>
        <w:rPr>
          <w:color w:val="auto"/>
          <w:sz w:val="23"/>
          <w:szCs w:val="23"/>
        </w:rPr>
      </w:pPr>
      <w:r w:rsidRPr="00A75C75">
        <w:rPr>
          <w:b/>
          <w:bCs/>
          <w:color w:val="auto"/>
          <w:sz w:val="23"/>
          <w:szCs w:val="23"/>
        </w:rPr>
        <w:t xml:space="preserve">Termin składania wniosków: od 30 kwietnia 2019 r. do 10 czerwca 2019 r. </w:t>
      </w:r>
      <w:r w:rsidRPr="00A75C75">
        <w:rPr>
          <w:b/>
          <w:bCs/>
          <w:color w:val="auto"/>
          <w:sz w:val="23"/>
          <w:szCs w:val="23"/>
        </w:rPr>
        <w:br/>
        <w:t>w godzinach 7.30 – 15.30</w:t>
      </w:r>
    </w:p>
    <w:p w14:paraId="43D7A327" w14:textId="528A1413" w:rsidR="005438EB" w:rsidRPr="00A75C75" w:rsidRDefault="005438EB" w:rsidP="00C06A14">
      <w:pPr>
        <w:pStyle w:val="Default"/>
        <w:spacing w:before="240"/>
        <w:jc w:val="both"/>
        <w:rPr>
          <w:color w:val="auto"/>
          <w:sz w:val="18"/>
          <w:szCs w:val="18"/>
        </w:rPr>
      </w:pPr>
      <w:r w:rsidRPr="00A75C75">
        <w:rPr>
          <w:color w:val="auto"/>
          <w:sz w:val="18"/>
          <w:szCs w:val="18"/>
        </w:rPr>
        <w:t xml:space="preserve">Ostateczny termin składania wniosków upływa </w:t>
      </w:r>
      <w:r w:rsidR="00887D16" w:rsidRPr="00A75C75">
        <w:rPr>
          <w:color w:val="auto"/>
          <w:sz w:val="18"/>
          <w:szCs w:val="18"/>
        </w:rPr>
        <w:t>10 czerwca 2019 r</w:t>
      </w:r>
      <w:r w:rsidR="009B447F" w:rsidRPr="00A75C75">
        <w:rPr>
          <w:color w:val="auto"/>
          <w:sz w:val="18"/>
          <w:szCs w:val="18"/>
        </w:rPr>
        <w:t>. o godz. 15.3</w:t>
      </w:r>
      <w:r w:rsidRPr="00A75C75">
        <w:rPr>
          <w:color w:val="auto"/>
          <w:sz w:val="18"/>
          <w:szCs w:val="18"/>
        </w:rPr>
        <w:t xml:space="preserve">0. Wnioski, które wpłyną po terminie będą rejestrowane, natomiast nie będą podlegały weryfikacji wymogów formalnych i pozostawione będą bez rozpatrzenia. </w:t>
      </w:r>
      <w:r w:rsidR="005A288D" w:rsidRPr="00A75C75">
        <w:rPr>
          <w:color w:val="auto"/>
          <w:sz w:val="18"/>
          <w:szCs w:val="18"/>
        </w:rPr>
        <w:t xml:space="preserve">Orientacyjny termin rozstrzygnięcia konkursu </w:t>
      </w:r>
      <w:r w:rsidR="00887D16" w:rsidRPr="00A75C75">
        <w:rPr>
          <w:color w:val="auto"/>
          <w:sz w:val="18"/>
          <w:szCs w:val="18"/>
        </w:rPr>
        <w:t>to listopad 2019</w:t>
      </w:r>
      <w:r w:rsidR="005A288D" w:rsidRPr="00A75C75">
        <w:rPr>
          <w:color w:val="auto"/>
          <w:sz w:val="18"/>
          <w:szCs w:val="18"/>
        </w:rPr>
        <w:t xml:space="preserve"> r</w:t>
      </w:r>
      <w:r w:rsidRPr="00A75C75">
        <w:rPr>
          <w:color w:val="auto"/>
          <w:sz w:val="18"/>
          <w:szCs w:val="18"/>
        </w:rPr>
        <w:t xml:space="preserve">. Instytucja </w:t>
      </w:r>
      <w:r w:rsidR="00DD51B3" w:rsidRPr="00A75C75">
        <w:rPr>
          <w:color w:val="auto"/>
          <w:sz w:val="18"/>
          <w:szCs w:val="18"/>
        </w:rPr>
        <w:t xml:space="preserve">Pośrednicząca </w:t>
      </w:r>
      <w:r w:rsidRPr="00A75C75">
        <w:rPr>
          <w:color w:val="auto"/>
          <w:sz w:val="18"/>
          <w:szCs w:val="18"/>
        </w:rPr>
        <w:t xml:space="preserve">zastrzega możliwość zmiany terminu rozstrzygnięcia konkursu. </w:t>
      </w:r>
    </w:p>
    <w:p w14:paraId="499C7DE9" w14:textId="7A9DDAC9" w:rsidR="005438EB" w:rsidRPr="00A75C75" w:rsidRDefault="005438EB" w:rsidP="009F462F">
      <w:pPr>
        <w:pStyle w:val="Default"/>
        <w:spacing w:before="240"/>
        <w:rPr>
          <w:color w:val="auto"/>
          <w:sz w:val="18"/>
          <w:szCs w:val="18"/>
        </w:rPr>
      </w:pPr>
      <w:r w:rsidRPr="00A75C75">
        <w:rPr>
          <w:b/>
          <w:bCs/>
          <w:color w:val="auto"/>
          <w:sz w:val="18"/>
          <w:szCs w:val="18"/>
        </w:rPr>
        <w:t xml:space="preserve">Sposób i miejsce udostępnienia regulaminu konkursu: </w:t>
      </w:r>
      <w:r w:rsidR="00887D16" w:rsidRPr="00A75C75">
        <w:rPr>
          <w:b/>
          <w:bCs/>
          <w:color w:val="auto"/>
          <w:sz w:val="18"/>
          <w:szCs w:val="18"/>
        </w:rPr>
        <w:t xml:space="preserve"> </w:t>
      </w:r>
    </w:p>
    <w:p w14:paraId="13972DDC" w14:textId="73731AC8" w:rsidR="005438EB" w:rsidRPr="00A75C75" w:rsidRDefault="005438EB" w:rsidP="00097FAD">
      <w:pPr>
        <w:pStyle w:val="Default"/>
        <w:jc w:val="both"/>
        <w:rPr>
          <w:color w:val="auto"/>
          <w:sz w:val="18"/>
          <w:szCs w:val="18"/>
        </w:rPr>
      </w:pPr>
      <w:r w:rsidRPr="00A75C75">
        <w:rPr>
          <w:color w:val="auto"/>
          <w:sz w:val="18"/>
          <w:szCs w:val="18"/>
        </w:rPr>
        <w:t xml:space="preserve">Informacje dotyczące zasad przygotowania i składania wniosków o dofinansowanie projektów oraz procedury przebiegu konkursu (w tym procedury odwoławczej) zawiera </w:t>
      </w:r>
      <w:r w:rsidRPr="00A75C75">
        <w:rPr>
          <w:b/>
          <w:bCs/>
          <w:color w:val="auto"/>
          <w:sz w:val="18"/>
          <w:szCs w:val="18"/>
        </w:rPr>
        <w:t xml:space="preserve">Regulamin konkursu nr </w:t>
      </w:r>
      <w:r w:rsidR="00F52854" w:rsidRPr="00A75C75">
        <w:rPr>
          <w:bCs/>
          <w:color w:val="auto"/>
          <w:sz w:val="18"/>
          <w:szCs w:val="18"/>
        </w:rPr>
        <w:t>RPWM.01.02.02</w:t>
      </w:r>
      <w:r w:rsidR="00B22430" w:rsidRPr="00A75C75">
        <w:rPr>
          <w:bCs/>
          <w:color w:val="auto"/>
          <w:sz w:val="18"/>
          <w:szCs w:val="18"/>
        </w:rPr>
        <w:t>-IP.03</w:t>
      </w:r>
      <w:r w:rsidR="00025576" w:rsidRPr="00A75C75">
        <w:rPr>
          <w:bCs/>
          <w:color w:val="auto"/>
          <w:sz w:val="18"/>
          <w:szCs w:val="18"/>
        </w:rPr>
        <w:t>-</w:t>
      </w:r>
      <w:r w:rsidR="00887D16" w:rsidRPr="00A75C75">
        <w:rPr>
          <w:bCs/>
          <w:color w:val="auto"/>
          <w:sz w:val="18"/>
          <w:szCs w:val="18"/>
        </w:rPr>
        <w:t>28-001/19</w:t>
      </w:r>
      <w:r w:rsidRPr="00A75C75">
        <w:rPr>
          <w:b/>
          <w:bCs/>
          <w:color w:val="auto"/>
          <w:sz w:val="18"/>
          <w:szCs w:val="18"/>
        </w:rPr>
        <w:t xml:space="preserve"> </w:t>
      </w:r>
      <w:r w:rsidRPr="00A75C75">
        <w:rPr>
          <w:bCs/>
          <w:color w:val="auto"/>
          <w:sz w:val="18"/>
          <w:szCs w:val="18"/>
        </w:rPr>
        <w:t>w</w:t>
      </w:r>
      <w:r w:rsidRPr="00A75C75">
        <w:rPr>
          <w:b/>
          <w:bCs/>
          <w:color w:val="auto"/>
          <w:sz w:val="18"/>
          <w:szCs w:val="18"/>
        </w:rPr>
        <w:t xml:space="preserve"> </w:t>
      </w:r>
      <w:r w:rsidRPr="00A75C75">
        <w:rPr>
          <w:bCs/>
          <w:color w:val="auto"/>
          <w:sz w:val="18"/>
          <w:szCs w:val="18"/>
        </w:rPr>
        <w:t>ramach Regionalnego Programu Operacyjnego Województwa Warmińsko-Mazurskiego na lata 2014-2020, Oś priorytetowa 1 Inteligentna Gospo</w:t>
      </w:r>
      <w:r w:rsidR="001775B6" w:rsidRPr="00A75C75">
        <w:rPr>
          <w:bCs/>
          <w:color w:val="auto"/>
          <w:sz w:val="18"/>
          <w:szCs w:val="18"/>
        </w:rPr>
        <w:t xml:space="preserve">darka Warmii i Mazur, Działanie </w:t>
      </w:r>
      <w:r w:rsidR="00097FAD" w:rsidRPr="00A75C75">
        <w:rPr>
          <w:bCs/>
          <w:color w:val="auto"/>
          <w:sz w:val="18"/>
          <w:szCs w:val="18"/>
        </w:rPr>
        <w:t>1</w:t>
      </w:r>
      <w:r w:rsidR="001775B6" w:rsidRPr="00A75C75">
        <w:rPr>
          <w:bCs/>
          <w:color w:val="auto"/>
          <w:sz w:val="18"/>
          <w:szCs w:val="18"/>
        </w:rPr>
        <w:t>.</w:t>
      </w:r>
      <w:r w:rsidR="00320843" w:rsidRPr="00A75C75">
        <w:rPr>
          <w:bCs/>
          <w:color w:val="auto"/>
          <w:sz w:val="18"/>
          <w:szCs w:val="18"/>
        </w:rPr>
        <w:t>2</w:t>
      </w:r>
      <w:r w:rsidR="00097FAD" w:rsidRPr="00A75C75">
        <w:rPr>
          <w:bCs/>
          <w:color w:val="auto"/>
          <w:sz w:val="18"/>
          <w:szCs w:val="18"/>
        </w:rPr>
        <w:t xml:space="preserve"> </w:t>
      </w:r>
      <w:r w:rsidR="00320843" w:rsidRPr="00A75C75">
        <w:rPr>
          <w:bCs/>
          <w:color w:val="auto"/>
          <w:sz w:val="18"/>
          <w:szCs w:val="18"/>
        </w:rPr>
        <w:t>Innowacyjne firmy</w:t>
      </w:r>
      <w:r w:rsidRPr="00A75C75">
        <w:rPr>
          <w:bCs/>
          <w:color w:val="auto"/>
          <w:sz w:val="18"/>
          <w:szCs w:val="18"/>
        </w:rPr>
        <w:t xml:space="preserve">, Poddziałanie </w:t>
      </w:r>
      <w:r w:rsidR="00F52854" w:rsidRPr="00A75C75">
        <w:rPr>
          <w:bCs/>
          <w:color w:val="auto"/>
          <w:sz w:val="18"/>
          <w:szCs w:val="18"/>
        </w:rPr>
        <w:t>1.2.2</w:t>
      </w:r>
      <w:r w:rsidR="00097FAD" w:rsidRPr="00A75C75">
        <w:rPr>
          <w:bCs/>
          <w:color w:val="auto"/>
          <w:sz w:val="18"/>
          <w:szCs w:val="18"/>
        </w:rPr>
        <w:t xml:space="preserve"> </w:t>
      </w:r>
      <w:r w:rsidR="00F52854" w:rsidRPr="00A75C75">
        <w:rPr>
          <w:bCs/>
          <w:color w:val="auto"/>
          <w:sz w:val="18"/>
          <w:szCs w:val="18"/>
        </w:rPr>
        <w:t>Współpraca biznesu z nauką</w:t>
      </w:r>
      <w:r w:rsidR="00097FAD" w:rsidRPr="00A75C75">
        <w:rPr>
          <w:color w:val="auto"/>
          <w:sz w:val="18"/>
          <w:szCs w:val="18"/>
        </w:rPr>
        <w:t xml:space="preserve"> </w:t>
      </w:r>
      <w:r w:rsidRPr="00A75C75">
        <w:rPr>
          <w:color w:val="auto"/>
          <w:sz w:val="18"/>
          <w:szCs w:val="18"/>
        </w:rPr>
        <w:t>wraz z załącznikami (m. in. wzór wniosku o dofinansowanie projektu oraz wzór umowy o dofinansowanie projektu).</w:t>
      </w:r>
      <w:r w:rsidR="00DD51B3" w:rsidRPr="00A75C75">
        <w:rPr>
          <w:color w:val="auto"/>
          <w:sz w:val="18"/>
          <w:szCs w:val="18"/>
        </w:rPr>
        <w:t xml:space="preserve"> </w:t>
      </w:r>
      <w:r w:rsidRPr="00A75C75">
        <w:rPr>
          <w:color w:val="auto"/>
          <w:sz w:val="18"/>
          <w:szCs w:val="18"/>
        </w:rPr>
        <w:t>Regulamin konkursu udostępniany jest w formie elektronicznej na stronie internetowej Programu: www.rpo.warmia.mazury.pl/ (odnośnik: Zobacz ogłoszenia i wyniki naborów wni</w:t>
      </w:r>
      <w:r w:rsidR="00C06A14" w:rsidRPr="00A75C75">
        <w:rPr>
          <w:color w:val="auto"/>
          <w:sz w:val="18"/>
          <w:szCs w:val="18"/>
        </w:rPr>
        <w:t xml:space="preserve">osków), </w:t>
      </w:r>
      <w:r w:rsidRPr="00A75C75">
        <w:rPr>
          <w:color w:val="auto"/>
          <w:sz w:val="18"/>
          <w:szCs w:val="18"/>
        </w:rPr>
        <w:t>Portalu Funduszy Europejskich:</w:t>
      </w:r>
      <w:r w:rsidR="009820DC" w:rsidRPr="00A75C75">
        <w:rPr>
          <w:color w:val="auto"/>
          <w:sz w:val="18"/>
          <w:szCs w:val="18"/>
        </w:rPr>
        <w:t xml:space="preserve"> www.funduszeeuropejskie.gov.pl,</w:t>
      </w:r>
      <w:r w:rsidRPr="00A75C75">
        <w:rPr>
          <w:color w:val="auto"/>
          <w:sz w:val="18"/>
          <w:szCs w:val="18"/>
        </w:rPr>
        <w:t xml:space="preserve"> </w:t>
      </w:r>
      <w:r w:rsidR="0096087A" w:rsidRPr="00A75C75">
        <w:rPr>
          <w:color w:val="auto"/>
          <w:sz w:val="18"/>
          <w:szCs w:val="18"/>
        </w:rPr>
        <w:t xml:space="preserve">WMARR S.A.: </w:t>
      </w:r>
      <w:r w:rsidR="00C06A14" w:rsidRPr="00A75C75">
        <w:rPr>
          <w:color w:val="auto"/>
          <w:sz w:val="18"/>
          <w:szCs w:val="18"/>
        </w:rPr>
        <w:t>www.wmarr.olsztyn.pl</w:t>
      </w:r>
    </w:p>
    <w:p w14:paraId="29C71F13" w14:textId="5F53B54B" w:rsidR="00C06A14" w:rsidRPr="00A75C75" w:rsidRDefault="005438EB" w:rsidP="0015593A">
      <w:pPr>
        <w:pStyle w:val="Default"/>
        <w:spacing w:before="240"/>
        <w:jc w:val="both"/>
        <w:rPr>
          <w:color w:val="auto"/>
          <w:sz w:val="18"/>
          <w:szCs w:val="18"/>
        </w:rPr>
      </w:pPr>
      <w:r w:rsidRPr="00A75C75">
        <w:rPr>
          <w:color w:val="auto"/>
          <w:sz w:val="18"/>
          <w:szCs w:val="18"/>
        </w:rPr>
        <w:t xml:space="preserve">Pełna dokumentacja związana z konkursem nr </w:t>
      </w:r>
      <w:r w:rsidR="009820DC" w:rsidRPr="00A75C75">
        <w:rPr>
          <w:bCs/>
          <w:color w:val="auto"/>
          <w:sz w:val="18"/>
          <w:szCs w:val="18"/>
        </w:rPr>
        <w:t>RPWM.01.02.0</w:t>
      </w:r>
      <w:r w:rsidR="00257E41" w:rsidRPr="00A75C75">
        <w:rPr>
          <w:bCs/>
          <w:color w:val="auto"/>
          <w:sz w:val="18"/>
          <w:szCs w:val="18"/>
        </w:rPr>
        <w:t>2</w:t>
      </w:r>
      <w:r w:rsidR="00B22430" w:rsidRPr="00A75C75">
        <w:rPr>
          <w:bCs/>
          <w:color w:val="auto"/>
          <w:sz w:val="18"/>
          <w:szCs w:val="18"/>
        </w:rPr>
        <w:t>-IP.03</w:t>
      </w:r>
      <w:r w:rsidR="00887D16" w:rsidRPr="00A75C75">
        <w:rPr>
          <w:bCs/>
          <w:color w:val="auto"/>
          <w:sz w:val="18"/>
          <w:szCs w:val="18"/>
        </w:rPr>
        <w:t>-28-001/19</w:t>
      </w:r>
      <w:r w:rsidRPr="00A75C75">
        <w:rPr>
          <w:color w:val="auto"/>
          <w:sz w:val="18"/>
          <w:szCs w:val="18"/>
        </w:rPr>
        <w:t xml:space="preserve"> znajduje się na stronie internetowej Pro</w:t>
      </w:r>
      <w:r w:rsidR="00C06A14" w:rsidRPr="00A75C75">
        <w:rPr>
          <w:color w:val="auto"/>
          <w:sz w:val="18"/>
          <w:szCs w:val="18"/>
        </w:rPr>
        <w:t xml:space="preserve">gramu: www.rpo.warmia.mazury.pl, </w:t>
      </w:r>
      <w:r w:rsidRPr="00A75C75">
        <w:rPr>
          <w:color w:val="auto"/>
          <w:sz w:val="18"/>
          <w:szCs w:val="18"/>
        </w:rPr>
        <w:t xml:space="preserve">Portalu Funduszy Europejskich: </w:t>
      </w:r>
      <w:r w:rsidR="00C06A14" w:rsidRPr="00A75C75">
        <w:rPr>
          <w:color w:val="auto"/>
          <w:sz w:val="18"/>
          <w:szCs w:val="18"/>
        </w:rPr>
        <w:t>www.funduszeeuropejskie.gov.pl oraz</w:t>
      </w:r>
      <w:r w:rsidR="0096087A" w:rsidRPr="00A75C75">
        <w:rPr>
          <w:color w:val="auto"/>
          <w:sz w:val="18"/>
          <w:szCs w:val="18"/>
        </w:rPr>
        <w:t xml:space="preserve"> WMARR S.A.</w:t>
      </w:r>
      <w:r w:rsidR="00C06A14" w:rsidRPr="00A75C75">
        <w:rPr>
          <w:color w:val="auto"/>
          <w:sz w:val="18"/>
          <w:szCs w:val="18"/>
        </w:rPr>
        <w:t xml:space="preserve"> www.wmarr.olsztyn.pl</w:t>
      </w:r>
    </w:p>
    <w:sectPr w:rsidR="00C06A14" w:rsidRPr="00A75C75" w:rsidSect="006D24A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B0F7A" w14:textId="77777777" w:rsidR="00135D7F" w:rsidRDefault="00135D7F" w:rsidP="005438EB">
      <w:pPr>
        <w:spacing w:after="0" w:line="240" w:lineRule="auto"/>
      </w:pPr>
      <w:r>
        <w:separator/>
      </w:r>
    </w:p>
  </w:endnote>
  <w:endnote w:type="continuationSeparator" w:id="0">
    <w:p w14:paraId="3EAA57D3" w14:textId="77777777" w:rsidR="00135D7F" w:rsidRDefault="00135D7F" w:rsidP="0054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9FEC8" w14:textId="77777777" w:rsidR="005438EB" w:rsidRPr="005438EB" w:rsidRDefault="005438EB" w:rsidP="005438EB">
    <w:pPr>
      <w:autoSpaceDE w:val="0"/>
      <w:autoSpaceDN w:val="0"/>
      <w:adjustRightInd w:val="0"/>
      <w:spacing w:after="0" w:line="240" w:lineRule="auto"/>
      <w:rPr>
        <w:rFonts w:ascii="Times New Roman" w:hAnsi="Times New Roman" w:cs="Times New Roman"/>
        <w:color w:val="000000"/>
        <w:sz w:val="24"/>
        <w:szCs w:val="24"/>
      </w:rPr>
    </w:pPr>
  </w:p>
  <w:p w14:paraId="3E501D71" w14:textId="77777777" w:rsidR="005438EB" w:rsidRDefault="005438EB" w:rsidP="005438EB">
    <w:pPr>
      <w:pStyle w:val="Stopka"/>
    </w:pPr>
    <w:r w:rsidRPr="005438EB">
      <w:rPr>
        <w:rFonts w:ascii="Times New Roman" w:hAnsi="Times New Roman" w:cs="Times New Roman"/>
        <w:color w:val="00000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B8C9D" w14:textId="77777777" w:rsidR="00135D7F" w:rsidRDefault="00135D7F" w:rsidP="005438EB">
      <w:pPr>
        <w:spacing w:after="0" w:line="240" w:lineRule="auto"/>
      </w:pPr>
      <w:r>
        <w:separator/>
      </w:r>
    </w:p>
  </w:footnote>
  <w:footnote w:type="continuationSeparator" w:id="0">
    <w:p w14:paraId="3FCD3E74" w14:textId="77777777" w:rsidR="00135D7F" w:rsidRDefault="00135D7F" w:rsidP="005438EB">
      <w:pPr>
        <w:spacing w:after="0" w:line="240" w:lineRule="auto"/>
      </w:pPr>
      <w:r>
        <w:continuationSeparator/>
      </w:r>
    </w:p>
  </w:footnote>
  <w:footnote w:id="1">
    <w:p w14:paraId="074FE4BD" w14:textId="30056883" w:rsidR="00FE6336" w:rsidRDefault="00887D16" w:rsidP="00FB3A9F">
      <w:pPr>
        <w:pStyle w:val="Tekstprzypisudolnego"/>
        <w:jc w:val="both"/>
      </w:pPr>
      <w:r w:rsidRPr="00104903">
        <w:rPr>
          <w:rStyle w:val="Odwoanieprzypisudolnego"/>
        </w:rPr>
        <w:footnoteRef/>
      </w:r>
      <w:r w:rsidRPr="00104903">
        <w:t xml:space="preserve"> </w:t>
      </w:r>
      <w:r w:rsidRPr="00104903">
        <w:rPr>
          <w:rFonts w:ascii="Arial" w:hAnsi="Arial" w:cs="Arial"/>
          <w:sz w:val="16"/>
          <w:szCs w:val="16"/>
        </w:rPr>
        <w:t xml:space="preserve">Wartość w PLN została określona według kursu Europejskiego Banku Centralnego z przedostatniego dnia kwotowania środków w miesiącu poprzedzającym miesiąc, w którym ogłoszono konkurs, tj. 27.02.2019 r., gdzie </w:t>
      </w:r>
      <w:r w:rsidRPr="00104903">
        <w:rPr>
          <w:rFonts w:ascii="Arial" w:hAnsi="Arial" w:cs="Arial"/>
          <w:b/>
          <w:bCs/>
          <w:sz w:val="16"/>
          <w:szCs w:val="16"/>
        </w:rPr>
        <w:t xml:space="preserve">1 EUR = 4,3146 PLN. </w:t>
      </w:r>
      <w:r w:rsidRPr="00104903">
        <w:rPr>
          <w:rFonts w:ascii="Arial" w:hAnsi="Arial" w:cs="Arial"/>
          <w:sz w:val="16"/>
          <w:szCs w:val="16"/>
        </w:rPr>
        <w:t xml:space="preserve">Z uwagi na konieczność ogłoszenia naborów w PLN, wybór projektów do dofinansowania oraz podpisanie umów będzie uzależnione od dostępności środków </w:t>
      </w:r>
      <w:r w:rsidRPr="00104903">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C56C" w14:textId="77777777" w:rsidR="000F4290" w:rsidRDefault="000F42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D1D"/>
    <w:multiLevelType w:val="hybridMultilevel"/>
    <w:tmpl w:val="4454D912"/>
    <w:lvl w:ilvl="0" w:tplc="48E2678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3E443E"/>
    <w:multiLevelType w:val="hybridMultilevel"/>
    <w:tmpl w:val="A028B580"/>
    <w:lvl w:ilvl="0" w:tplc="04150001">
      <w:start w:val="1"/>
      <w:numFmt w:val="bullet"/>
      <w:lvlText w:val=""/>
      <w:lvlJc w:val="left"/>
      <w:pPr>
        <w:ind w:left="1440" w:hanging="360"/>
      </w:pPr>
      <w:rPr>
        <w:rFonts w:ascii="Symbol" w:hAnsi="Symbol" w:hint="default"/>
        <w:sz w:val="20"/>
        <w:szCs w:val="20"/>
      </w:rPr>
    </w:lvl>
    <w:lvl w:ilvl="1" w:tplc="EFD0AF6E">
      <w:start w:val="1"/>
      <w:numFmt w:val="lowerLetter"/>
      <w:lvlText w:val="%2)"/>
      <w:lvlJc w:val="left"/>
      <w:pPr>
        <w:ind w:left="2160" w:hanging="360"/>
      </w:pPr>
      <w:rPr>
        <w:rFonts w:ascii="Times New Roman" w:hAnsi="Times New Roman" w:cs="Times New Roman" w:hint="default"/>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0C57803"/>
    <w:multiLevelType w:val="hybridMultilevel"/>
    <w:tmpl w:val="571EB01C"/>
    <w:lvl w:ilvl="0" w:tplc="025E32B2">
      <w:numFmt w:val="bullet"/>
      <w:lvlText w:val=""/>
      <w:lvlJc w:val="left"/>
      <w:pPr>
        <w:ind w:left="2483" w:hanging="360"/>
      </w:pPr>
      <w:rPr>
        <w:rFonts w:ascii="Symbol" w:eastAsia="Times New Roman" w:hAnsi="Symbol" w:cs="Arial" w:hint="default"/>
        <w:color w:val="auto"/>
      </w:rPr>
    </w:lvl>
    <w:lvl w:ilvl="1" w:tplc="04150003" w:tentative="1">
      <w:start w:val="1"/>
      <w:numFmt w:val="bullet"/>
      <w:lvlText w:val="o"/>
      <w:lvlJc w:val="left"/>
      <w:pPr>
        <w:ind w:left="3203" w:hanging="360"/>
      </w:pPr>
      <w:rPr>
        <w:rFonts w:ascii="Courier New" w:hAnsi="Courier New" w:cs="Courier New" w:hint="default"/>
      </w:rPr>
    </w:lvl>
    <w:lvl w:ilvl="2" w:tplc="04150005" w:tentative="1">
      <w:start w:val="1"/>
      <w:numFmt w:val="bullet"/>
      <w:lvlText w:val=""/>
      <w:lvlJc w:val="left"/>
      <w:pPr>
        <w:ind w:left="3923" w:hanging="360"/>
      </w:pPr>
      <w:rPr>
        <w:rFonts w:ascii="Wingdings" w:hAnsi="Wingdings" w:hint="default"/>
      </w:rPr>
    </w:lvl>
    <w:lvl w:ilvl="3" w:tplc="04150001" w:tentative="1">
      <w:start w:val="1"/>
      <w:numFmt w:val="bullet"/>
      <w:lvlText w:val=""/>
      <w:lvlJc w:val="left"/>
      <w:pPr>
        <w:ind w:left="4643" w:hanging="360"/>
      </w:pPr>
      <w:rPr>
        <w:rFonts w:ascii="Symbol" w:hAnsi="Symbol" w:hint="default"/>
      </w:rPr>
    </w:lvl>
    <w:lvl w:ilvl="4" w:tplc="04150003" w:tentative="1">
      <w:start w:val="1"/>
      <w:numFmt w:val="bullet"/>
      <w:lvlText w:val="o"/>
      <w:lvlJc w:val="left"/>
      <w:pPr>
        <w:ind w:left="5363" w:hanging="360"/>
      </w:pPr>
      <w:rPr>
        <w:rFonts w:ascii="Courier New" w:hAnsi="Courier New" w:cs="Courier New" w:hint="default"/>
      </w:rPr>
    </w:lvl>
    <w:lvl w:ilvl="5" w:tplc="04150005" w:tentative="1">
      <w:start w:val="1"/>
      <w:numFmt w:val="bullet"/>
      <w:lvlText w:val=""/>
      <w:lvlJc w:val="left"/>
      <w:pPr>
        <w:ind w:left="6083" w:hanging="360"/>
      </w:pPr>
      <w:rPr>
        <w:rFonts w:ascii="Wingdings" w:hAnsi="Wingdings" w:hint="default"/>
      </w:rPr>
    </w:lvl>
    <w:lvl w:ilvl="6" w:tplc="04150001" w:tentative="1">
      <w:start w:val="1"/>
      <w:numFmt w:val="bullet"/>
      <w:lvlText w:val=""/>
      <w:lvlJc w:val="left"/>
      <w:pPr>
        <w:ind w:left="6803" w:hanging="360"/>
      </w:pPr>
      <w:rPr>
        <w:rFonts w:ascii="Symbol" w:hAnsi="Symbol" w:hint="default"/>
      </w:rPr>
    </w:lvl>
    <w:lvl w:ilvl="7" w:tplc="04150003" w:tentative="1">
      <w:start w:val="1"/>
      <w:numFmt w:val="bullet"/>
      <w:lvlText w:val="o"/>
      <w:lvlJc w:val="left"/>
      <w:pPr>
        <w:ind w:left="7523" w:hanging="360"/>
      </w:pPr>
      <w:rPr>
        <w:rFonts w:ascii="Courier New" w:hAnsi="Courier New" w:cs="Courier New" w:hint="default"/>
      </w:rPr>
    </w:lvl>
    <w:lvl w:ilvl="8" w:tplc="04150005" w:tentative="1">
      <w:start w:val="1"/>
      <w:numFmt w:val="bullet"/>
      <w:lvlText w:val=""/>
      <w:lvlJc w:val="left"/>
      <w:pPr>
        <w:ind w:left="8243" w:hanging="360"/>
      </w:pPr>
      <w:rPr>
        <w:rFonts w:ascii="Wingdings" w:hAnsi="Wingdings" w:hint="default"/>
      </w:rPr>
    </w:lvl>
  </w:abstractNum>
  <w:abstractNum w:abstractNumId="3" w15:restartNumberingAfterBreak="0">
    <w:nsid w:val="23675596"/>
    <w:multiLevelType w:val="hybridMultilevel"/>
    <w:tmpl w:val="27F687BA"/>
    <w:lvl w:ilvl="0" w:tplc="81DC75EC">
      <w:start w:val="1"/>
      <w:numFmt w:val="decimal"/>
      <w:lvlText w:val="%1."/>
      <w:lvlJc w:val="left"/>
      <w:pPr>
        <w:tabs>
          <w:tab w:val="num" w:pos="720"/>
        </w:tabs>
        <w:ind w:left="720" w:hanging="36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806398"/>
    <w:multiLevelType w:val="hybridMultilevel"/>
    <w:tmpl w:val="F84AF8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D26C2"/>
    <w:multiLevelType w:val="hybridMultilevel"/>
    <w:tmpl w:val="EB1C10B8"/>
    <w:lvl w:ilvl="0" w:tplc="5ED6D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7662B4"/>
    <w:multiLevelType w:val="hybridMultilevel"/>
    <w:tmpl w:val="D4123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5C301C0"/>
    <w:multiLevelType w:val="hybridMultilevel"/>
    <w:tmpl w:val="68C81DF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0F5FA2"/>
    <w:multiLevelType w:val="hybridMultilevel"/>
    <w:tmpl w:val="35264D0E"/>
    <w:lvl w:ilvl="0" w:tplc="5ED6D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D32582"/>
    <w:multiLevelType w:val="hybridMultilevel"/>
    <w:tmpl w:val="43F8DD2A"/>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C30D9C"/>
    <w:multiLevelType w:val="hybridMultilevel"/>
    <w:tmpl w:val="9656C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9F7BED"/>
    <w:multiLevelType w:val="hybridMultilevel"/>
    <w:tmpl w:val="24AC40E8"/>
    <w:lvl w:ilvl="0" w:tplc="48E2678E">
      <w:start w:val="1"/>
      <w:numFmt w:val="bullet"/>
      <w:lvlText w:val=""/>
      <w:lvlJc w:val="left"/>
      <w:pPr>
        <w:ind w:left="1494" w:hanging="360"/>
      </w:pPr>
      <w:rPr>
        <w:rFonts w:ascii="Symbol" w:hAnsi="Symbol" w:hint="default"/>
        <w:color w:val="auto"/>
        <w:sz w:val="22"/>
        <w:szCs w:val="22"/>
      </w:rPr>
    </w:lvl>
    <w:lvl w:ilvl="1" w:tplc="EFD0AF6E">
      <w:start w:val="1"/>
      <w:numFmt w:val="lowerLetter"/>
      <w:lvlText w:val="%2)"/>
      <w:lvlJc w:val="left"/>
      <w:pPr>
        <w:ind w:left="2214" w:hanging="360"/>
      </w:pPr>
      <w:rPr>
        <w:rFonts w:ascii="Times New Roman" w:hAnsi="Times New Roman" w:cs="Times New Roman" w:hint="default"/>
        <w:sz w:val="24"/>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6E881E6F"/>
    <w:multiLevelType w:val="hybridMultilevel"/>
    <w:tmpl w:val="8D7072AE"/>
    <w:lvl w:ilvl="0" w:tplc="9FBA3F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45117B"/>
    <w:multiLevelType w:val="hybridMultilevel"/>
    <w:tmpl w:val="362EE358"/>
    <w:lvl w:ilvl="0" w:tplc="711E1CD6">
      <w:start w:val="1"/>
      <w:numFmt w:val="decimal"/>
      <w:lvlText w:val="%1."/>
      <w:lvlJc w:val="left"/>
      <w:pPr>
        <w:ind w:left="720" w:hanging="360"/>
      </w:pPr>
      <w:rPr>
        <w:rFonts w:ascii="Arial" w:hAnsi="Arial" w:cs="Arial" w:hint="default"/>
        <w:sz w:val="20"/>
        <w:szCs w:val="20"/>
      </w:rPr>
    </w:lvl>
    <w:lvl w:ilvl="1" w:tplc="04150003">
      <w:start w:val="1"/>
      <w:numFmt w:val="decimal"/>
      <w:lvlText w:val="%2."/>
      <w:lvlJc w:val="left"/>
      <w:pPr>
        <w:tabs>
          <w:tab w:val="num" w:pos="1440"/>
        </w:tabs>
        <w:ind w:left="1440" w:hanging="360"/>
      </w:pPr>
      <w:rPr>
        <w:rFonts w:hint="default"/>
        <w:sz w:val="20"/>
        <w:szCs w:val="20"/>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 w15:restartNumberingAfterBreak="0">
    <w:nsid w:val="75B02E8A"/>
    <w:multiLevelType w:val="hybridMultilevel"/>
    <w:tmpl w:val="01DE0A2A"/>
    <w:lvl w:ilvl="0" w:tplc="696E3B3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180E78"/>
    <w:multiLevelType w:val="hybridMultilevel"/>
    <w:tmpl w:val="676609E2"/>
    <w:lvl w:ilvl="0" w:tplc="55BCA798">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C14502"/>
    <w:multiLevelType w:val="hybridMultilevel"/>
    <w:tmpl w:val="43FA428C"/>
    <w:lvl w:ilvl="0" w:tplc="5ED6D2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F523E75"/>
    <w:multiLevelType w:val="hybridMultilevel"/>
    <w:tmpl w:val="AD201216"/>
    <w:lvl w:ilvl="0" w:tplc="5ED6D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6"/>
  </w:num>
  <w:num w:numId="4">
    <w:abstractNumId w:val="4"/>
  </w:num>
  <w:num w:numId="5">
    <w:abstractNumId w:val="17"/>
  </w:num>
  <w:num w:numId="6">
    <w:abstractNumId w:val="5"/>
  </w:num>
  <w:num w:numId="7">
    <w:abstractNumId w:val="6"/>
  </w:num>
  <w:num w:numId="8">
    <w:abstractNumId w:val="13"/>
  </w:num>
  <w:num w:numId="9">
    <w:abstractNumId w:val="12"/>
  </w:num>
  <w:num w:numId="10">
    <w:abstractNumId w:val="7"/>
  </w:num>
  <w:num w:numId="11">
    <w:abstractNumId w:val="15"/>
  </w:num>
  <w:num w:numId="12">
    <w:abstractNumId w:val="9"/>
  </w:num>
  <w:num w:numId="13">
    <w:abstractNumId w:val="1"/>
  </w:num>
  <w:num w:numId="14">
    <w:abstractNumId w:val="11"/>
  </w:num>
  <w:num w:numId="15">
    <w:abstractNumId w:val="2"/>
  </w:num>
  <w:num w:numId="16">
    <w:abstractNumId w:val="3"/>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EB"/>
    <w:rsid w:val="00011E4F"/>
    <w:rsid w:val="00025576"/>
    <w:rsid w:val="00030D01"/>
    <w:rsid w:val="00034D3F"/>
    <w:rsid w:val="0005305E"/>
    <w:rsid w:val="000630A3"/>
    <w:rsid w:val="00066113"/>
    <w:rsid w:val="00097FAD"/>
    <w:rsid w:val="000A7167"/>
    <w:rsid w:val="000B4C1A"/>
    <w:rsid w:val="000C17F0"/>
    <w:rsid w:val="000C43B5"/>
    <w:rsid w:val="000E16B8"/>
    <w:rsid w:val="000F4290"/>
    <w:rsid w:val="00104903"/>
    <w:rsid w:val="00120B7B"/>
    <w:rsid w:val="00133714"/>
    <w:rsid w:val="00135D7F"/>
    <w:rsid w:val="0015593A"/>
    <w:rsid w:val="00163FD1"/>
    <w:rsid w:val="00165AB9"/>
    <w:rsid w:val="001775B6"/>
    <w:rsid w:val="001C4092"/>
    <w:rsid w:val="002135F7"/>
    <w:rsid w:val="00246A55"/>
    <w:rsid w:val="00252467"/>
    <w:rsid w:val="00257E41"/>
    <w:rsid w:val="00263E19"/>
    <w:rsid w:val="00274179"/>
    <w:rsid w:val="002D0B0A"/>
    <w:rsid w:val="00303B13"/>
    <w:rsid w:val="00320843"/>
    <w:rsid w:val="00325B66"/>
    <w:rsid w:val="0034425D"/>
    <w:rsid w:val="00344D51"/>
    <w:rsid w:val="00360C3E"/>
    <w:rsid w:val="003C5306"/>
    <w:rsid w:val="004021B3"/>
    <w:rsid w:val="0042594D"/>
    <w:rsid w:val="00461E71"/>
    <w:rsid w:val="0048068B"/>
    <w:rsid w:val="00496C12"/>
    <w:rsid w:val="004B5EB1"/>
    <w:rsid w:val="004E7899"/>
    <w:rsid w:val="004F0070"/>
    <w:rsid w:val="005019AC"/>
    <w:rsid w:val="005438EB"/>
    <w:rsid w:val="00565EC0"/>
    <w:rsid w:val="005923CF"/>
    <w:rsid w:val="005A288D"/>
    <w:rsid w:val="005E023E"/>
    <w:rsid w:val="005E498C"/>
    <w:rsid w:val="005E65F8"/>
    <w:rsid w:val="005F5749"/>
    <w:rsid w:val="0061234E"/>
    <w:rsid w:val="006141CA"/>
    <w:rsid w:val="0062783F"/>
    <w:rsid w:val="006343AB"/>
    <w:rsid w:val="00656815"/>
    <w:rsid w:val="006B190E"/>
    <w:rsid w:val="006B4137"/>
    <w:rsid w:val="006D24A7"/>
    <w:rsid w:val="006E547C"/>
    <w:rsid w:val="00704183"/>
    <w:rsid w:val="007060F0"/>
    <w:rsid w:val="00742145"/>
    <w:rsid w:val="007516D6"/>
    <w:rsid w:val="00765EA2"/>
    <w:rsid w:val="00771B1D"/>
    <w:rsid w:val="0079458C"/>
    <w:rsid w:val="0079647E"/>
    <w:rsid w:val="007C6AFD"/>
    <w:rsid w:val="007E4D2A"/>
    <w:rsid w:val="008007E8"/>
    <w:rsid w:val="008040AB"/>
    <w:rsid w:val="00860C98"/>
    <w:rsid w:val="008665C0"/>
    <w:rsid w:val="00883C3E"/>
    <w:rsid w:val="00887C6C"/>
    <w:rsid w:val="00887D16"/>
    <w:rsid w:val="00894D7B"/>
    <w:rsid w:val="009043C2"/>
    <w:rsid w:val="009322CA"/>
    <w:rsid w:val="00942945"/>
    <w:rsid w:val="009507F5"/>
    <w:rsid w:val="0096087A"/>
    <w:rsid w:val="009820DC"/>
    <w:rsid w:val="009B447F"/>
    <w:rsid w:val="009D5347"/>
    <w:rsid w:val="009F462F"/>
    <w:rsid w:val="00A02B2A"/>
    <w:rsid w:val="00A128C9"/>
    <w:rsid w:val="00A20776"/>
    <w:rsid w:val="00A41BA9"/>
    <w:rsid w:val="00A4508A"/>
    <w:rsid w:val="00A75C75"/>
    <w:rsid w:val="00B21A5A"/>
    <w:rsid w:val="00B22430"/>
    <w:rsid w:val="00B45E7B"/>
    <w:rsid w:val="00B64E70"/>
    <w:rsid w:val="00BB0FC9"/>
    <w:rsid w:val="00BB5667"/>
    <w:rsid w:val="00BD52D6"/>
    <w:rsid w:val="00C06A14"/>
    <w:rsid w:val="00C31190"/>
    <w:rsid w:val="00C608EE"/>
    <w:rsid w:val="00C63C8E"/>
    <w:rsid w:val="00C8720E"/>
    <w:rsid w:val="00C95A50"/>
    <w:rsid w:val="00CA6998"/>
    <w:rsid w:val="00CC34B6"/>
    <w:rsid w:val="00CF761B"/>
    <w:rsid w:val="00D02266"/>
    <w:rsid w:val="00D0358F"/>
    <w:rsid w:val="00D2283D"/>
    <w:rsid w:val="00D5023E"/>
    <w:rsid w:val="00D8750C"/>
    <w:rsid w:val="00DD51B3"/>
    <w:rsid w:val="00DE6946"/>
    <w:rsid w:val="00DF2C1B"/>
    <w:rsid w:val="00E021AF"/>
    <w:rsid w:val="00E16BB0"/>
    <w:rsid w:val="00E17892"/>
    <w:rsid w:val="00E4232A"/>
    <w:rsid w:val="00E44CF6"/>
    <w:rsid w:val="00E573C2"/>
    <w:rsid w:val="00E96A38"/>
    <w:rsid w:val="00EA553F"/>
    <w:rsid w:val="00EA6CF3"/>
    <w:rsid w:val="00EA734F"/>
    <w:rsid w:val="00EA7E59"/>
    <w:rsid w:val="00EB10C9"/>
    <w:rsid w:val="00EC31B0"/>
    <w:rsid w:val="00ED316E"/>
    <w:rsid w:val="00F02CF4"/>
    <w:rsid w:val="00F148FE"/>
    <w:rsid w:val="00F27F21"/>
    <w:rsid w:val="00F52854"/>
    <w:rsid w:val="00F546C2"/>
    <w:rsid w:val="00F5673C"/>
    <w:rsid w:val="00F60FF9"/>
    <w:rsid w:val="00F9529B"/>
    <w:rsid w:val="00FB3A9F"/>
    <w:rsid w:val="00FD2E78"/>
    <w:rsid w:val="00FE35E3"/>
    <w:rsid w:val="00FE5DF1"/>
    <w:rsid w:val="00FE6336"/>
    <w:rsid w:val="00FE6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2387"/>
  <w15:docId w15:val="{BC0FDE5C-89A3-4A43-8218-7FA0B430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4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438EB"/>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438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38EB"/>
  </w:style>
  <w:style w:type="paragraph" w:styleId="Stopka">
    <w:name w:val="footer"/>
    <w:basedOn w:val="Normalny"/>
    <w:link w:val="StopkaZnak"/>
    <w:uiPriority w:val="99"/>
    <w:unhideWhenUsed/>
    <w:rsid w:val="005438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38EB"/>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nhideWhenUsed/>
    <w:rsid w:val="009043C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9043C2"/>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9043C2"/>
    <w:rPr>
      <w:vertAlign w:val="superscript"/>
    </w:rPr>
  </w:style>
  <w:style w:type="character" w:styleId="Hipercze">
    <w:name w:val="Hyperlink"/>
    <w:basedOn w:val="Domylnaczcionkaakapitu"/>
    <w:uiPriority w:val="99"/>
    <w:unhideWhenUsed/>
    <w:rsid w:val="00C06A14"/>
    <w:rPr>
      <w:color w:val="0563C1" w:themeColor="hyperlink"/>
      <w:u w:val="single"/>
    </w:rPr>
  </w:style>
  <w:style w:type="paragraph" w:styleId="Akapitzlist">
    <w:name w:val="List Paragraph"/>
    <w:aliases w:val="Numerowanie,List Paragraph"/>
    <w:basedOn w:val="Normalny"/>
    <w:link w:val="AkapitzlistZnak"/>
    <w:uiPriority w:val="99"/>
    <w:qFormat/>
    <w:rsid w:val="00E573C2"/>
    <w:pPr>
      <w:ind w:left="720"/>
      <w:contextualSpacing/>
    </w:pPr>
  </w:style>
  <w:style w:type="paragraph" w:styleId="Tekstdymka">
    <w:name w:val="Balloon Text"/>
    <w:basedOn w:val="Normalny"/>
    <w:link w:val="TekstdymkaZnak"/>
    <w:uiPriority w:val="99"/>
    <w:semiHidden/>
    <w:unhideWhenUsed/>
    <w:rsid w:val="00DD51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51B3"/>
    <w:rPr>
      <w:rFonts w:ascii="Tahoma" w:hAnsi="Tahoma" w:cs="Tahoma"/>
      <w:sz w:val="16"/>
      <w:szCs w:val="16"/>
    </w:rPr>
  </w:style>
  <w:style w:type="character" w:styleId="Pogrubienie">
    <w:name w:val="Strong"/>
    <w:basedOn w:val="Domylnaczcionkaakapitu"/>
    <w:uiPriority w:val="22"/>
    <w:qFormat/>
    <w:rsid w:val="00DD51B3"/>
    <w:rPr>
      <w:b/>
      <w:bCs/>
    </w:rPr>
  </w:style>
  <w:style w:type="character" w:styleId="Odwoaniedokomentarza">
    <w:name w:val="annotation reference"/>
    <w:basedOn w:val="Domylnaczcionkaakapitu"/>
    <w:uiPriority w:val="99"/>
    <w:semiHidden/>
    <w:unhideWhenUsed/>
    <w:rsid w:val="00DD51B3"/>
    <w:rPr>
      <w:sz w:val="16"/>
      <w:szCs w:val="16"/>
    </w:rPr>
  </w:style>
  <w:style w:type="paragraph" w:styleId="Tekstkomentarza">
    <w:name w:val="annotation text"/>
    <w:basedOn w:val="Normalny"/>
    <w:link w:val="TekstkomentarzaZnak"/>
    <w:uiPriority w:val="99"/>
    <w:semiHidden/>
    <w:unhideWhenUsed/>
    <w:rsid w:val="00DD51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1B3"/>
    <w:rPr>
      <w:sz w:val="20"/>
      <w:szCs w:val="20"/>
    </w:rPr>
  </w:style>
  <w:style w:type="paragraph" w:styleId="Tematkomentarza">
    <w:name w:val="annotation subject"/>
    <w:basedOn w:val="Tekstkomentarza"/>
    <w:next w:val="Tekstkomentarza"/>
    <w:link w:val="TematkomentarzaZnak"/>
    <w:uiPriority w:val="99"/>
    <w:semiHidden/>
    <w:unhideWhenUsed/>
    <w:rsid w:val="00DD51B3"/>
    <w:rPr>
      <w:b/>
      <w:bCs/>
    </w:rPr>
  </w:style>
  <w:style w:type="character" w:customStyle="1" w:styleId="TematkomentarzaZnak">
    <w:name w:val="Temat komentarza Znak"/>
    <w:basedOn w:val="TekstkomentarzaZnak"/>
    <w:link w:val="Tematkomentarza"/>
    <w:uiPriority w:val="99"/>
    <w:semiHidden/>
    <w:rsid w:val="00DD51B3"/>
    <w:rPr>
      <w:b/>
      <w:bCs/>
      <w:sz w:val="20"/>
      <w:szCs w:val="20"/>
    </w:rPr>
  </w:style>
  <w:style w:type="table" w:styleId="Tabela-Siatka">
    <w:name w:val="Table Grid"/>
    <w:basedOn w:val="Standardowy"/>
    <w:uiPriority w:val="59"/>
    <w:rsid w:val="0079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99"/>
    <w:locked/>
    <w:rsid w:val="001C4092"/>
  </w:style>
  <w:style w:type="character" w:customStyle="1" w:styleId="Teksttreci">
    <w:name w:val="Tekst treści_"/>
    <w:basedOn w:val="Domylnaczcionkaakapitu"/>
    <w:link w:val="Teksttreci0"/>
    <w:rsid w:val="009322CA"/>
    <w:rPr>
      <w:rFonts w:ascii="Arial" w:eastAsia="Arial" w:hAnsi="Arial" w:cs="Arial"/>
      <w:spacing w:val="2"/>
      <w:sz w:val="18"/>
      <w:szCs w:val="18"/>
      <w:shd w:val="clear" w:color="auto" w:fill="FFFFFF"/>
    </w:rPr>
  </w:style>
  <w:style w:type="paragraph" w:customStyle="1" w:styleId="Teksttreci0">
    <w:name w:val="Tekst treści"/>
    <w:basedOn w:val="Normalny"/>
    <w:link w:val="Teksttreci"/>
    <w:rsid w:val="009322CA"/>
    <w:pPr>
      <w:widowControl w:val="0"/>
      <w:shd w:val="clear" w:color="auto" w:fill="FFFFFF"/>
      <w:spacing w:before="2880" w:after="0" w:line="0" w:lineRule="atLeast"/>
      <w:ind w:hanging="520"/>
      <w:jc w:val="center"/>
    </w:pPr>
    <w:rPr>
      <w:rFonts w:ascii="Arial" w:eastAsia="Arial" w:hAnsi="Arial" w:cs="Arial"/>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0D7F1-9FE1-4976-BE1E-47BE0526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2113</Words>
  <Characters>12679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 Michalczyk</dc:creator>
  <cp:lastModifiedBy>Ela Michalczyk</cp:lastModifiedBy>
  <cp:revision>14</cp:revision>
  <cp:lastPrinted>2016-07-14T06:26:00Z</cp:lastPrinted>
  <dcterms:created xsi:type="dcterms:W3CDTF">2017-08-21T06:07:00Z</dcterms:created>
  <dcterms:modified xsi:type="dcterms:W3CDTF">2019-03-08T14:24:00Z</dcterms:modified>
</cp:coreProperties>
</file>